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line="320" w:lineRule="auto"/>
        <w:ind w:left="220" w:leftChars="100" w:right="567" w:firstLine="0"/>
        <w:jc w:val="center"/>
        <w:textAlignment w:val="auto"/>
        <w:rPr>
          <w:rFonts w:hint="default"/>
          <w:spacing w:val="0"/>
          <w:sz w:val="36"/>
          <w:szCs w:val="36"/>
          <w:lang w:val="en-US"/>
        </w:rPr>
      </w:pPr>
      <w:r>
        <w:rPr>
          <w:rFonts w:hint="eastAsia" w:ascii="微软雅黑" w:eastAsia="微软雅黑"/>
          <w:spacing w:val="0"/>
          <w:sz w:val="32"/>
          <w:szCs w:val="32"/>
          <w:lang w:val="en-US" w:eastAsia="zh-CN"/>
        </w:rPr>
        <w:t>汕湛高速簕竹收费站连接线与乡道Y301路口拓宽建设项目用户需求书</w:t>
      </w:r>
    </w:p>
    <w:p>
      <w:pPr>
        <w:spacing w:before="5" w:after="1" w:line="240" w:lineRule="auto"/>
        <w:rPr>
          <w:b/>
          <w:spacing w:val="0"/>
          <w:sz w:val="18"/>
        </w:rPr>
      </w:pPr>
    </w:p>
    <w:tbl>
      <w:tblPr>
        <w:tblStyle w:val="10"/>
        <w:tblW w:w="49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2"/>
        <w:gridCol w:w="624"/>
        <w:gridCol w:w="1699"/>
        <w:gridCol w:w="1600"/>
        <w:gridCol w:w="4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15"/>
              <w:spacing w:before="97"/>
              <w:ind w:left="107"/>
              <w:rPr>
                <w:b/>
                <w:spacing w:val="0"/>
                <w:sz w:val="21"/>
              </w:rPr>
            </w:pPr>
            <w:r>
              <w:rPr>
                <w:b/>
                <w:spacing w:val="0"/>
                <w:sz w:val="24"/>
                <w:szCs w:val="24"/>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23" w:type="pct"/>
            <w:gridSpan w:val="2"/>
            <w:vAlign w:val="center"/>
          </w:tcPr>
          <w:p>
            <w:pPr>
              <w:pStyle w:val="15"/>
              <w:spacing w:before="99"/>
              <w:jc w:val="center"/>
              <w:rPr>
                <w:rFonts w:hint="eastAsia" w:ascii="宋体" w:hAnsi="宋体" w:eastAsia="宋体" w:cs="宋体"/>
                <w:spacing w:val="0"/>
                <w:sz w:val="24"/>
                <w:szCs w:val="24"/>
              </w:rPr>
            </w:pPr>
            <w:r>
              <w:rPr>
                <w:rFonts w:hint="eastAsia" w:ascii="宋体" w:hAnsi="宋体" w:eastAsia="宋体" w:cs="宋体"/>
                <w:spacing w:val="0"/>
                <w:sz w:val="24"/>
                <w:szCs w:val="24"/>
              </w:rPr>
              <w:t>单位名称（盖章）</w:t>
            </w:r>
          </w:p>
        </w:tc>
        <w:tc>
          <w:tcPr>
            <w:tcW w:w="3676" w:type="pct"/>
            <w:gridSpan w:val="3"/>
            <w:vAlign w:val="center"/>
          </w:tcPr>
          <w:p>
            <w:pPr>
              <w:pStyle w:val="15"/>
              <w:spacing w:before="99"/>
              <w:ind w:firstLine="240" w:firstLineChars="100"/>
              <w:jc w:val="both"/>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新兴县簕竹镇</w:t>
            </w:r>
            <w:r>
              <w:rPr>
                <w:rFonts w:hint="eastAsia" w:cs="宋体"/>
                <w:spacing w:val="0"/>
                <w:sz w:val="24"/>
                <w:szCs w:val="24"/>
                <w:lang w:val="en-US" w:eastAsia="zh-CN"/>
              </w:rPr>
              <w:t>大坪</w:t>
            </w:r>
            <w:r>
              <w:rPr>
                <w:rFonts w:hint="eastAsia" w:ascii="宋体" w:hAnsi="宋体" w:eastAsia="宋体" w:cs="宋体"/>
                <w:spacing w:val="0"/>
                <w:sz w:val="24"/>
                <w:szCs w:val="24"/>
                <w:lang w:val="en-US" w:eastAsia="zh-CN"/>
              </w:rPr>
              <w:t>村民委员会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323" w:type="pct"/>
            <w:gridSpan w:val="2"/>
            <w:vAlign w:val="center"/>
          </w:tcPr>
          <w:p>
            <w:pPr>
              <w:pStyle w:val="15"/>
              <w:spacing w:before="98"/>
              <w:ind w:firstLine="480" w:firstLineChars="200"/>
              <w:jc w:val="left"/>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676" w:type="pct"/>
            <w:gridSpan w:val="3"/>
            <w:vAlign w:val="center"/>
          </w:tcPr>
          <w:p>
            <w:pPr>
              <w:pStyle w:val="5"/>
              <w:keepNext w:val="0"/>
              <w:keepLines w:val="0"/>
              <w:pageBreakBefore w:val="0"/>
              <w:widowControl w:val="0"/>
              <w:kinsoku/>
              <w:wordWrap/>
              <w:overflowPunct/>
              <w:topLinePunct w:val="0"/>
              <w:autoSpaceDE w:val="0"/>
              <w:autoSpaceDN w:val="0"/>
              <w:bidi w:val="0"/>
              <w:adjustRightInd/>
              <w:snapToGrid/>
              <w:spacing w:before="0" w:line="320" w:lineRule="auto"/>
              <w:ind w:right="283" w:firstLine="240" w:firstLineChars="1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b w:val="0"/>
                <w:bCs w:val="0"/>
                <w:spacing w:val="0"/>
                <w:sz w:val="24"/>
                <w:szCs w:val="24"/>
                <w:lang w:val="en-US" w:eastAsia="zh-CN" w:bidi="zh-CN"/>
              </w:rPr>
              <w:t>汕湛高速簕竹收费站连接线与乡道Y301路口拓宽建设项目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23" w:type="pct"/>
            <w:gridSpan w:val="2"/>
            <w:vAlign w:val="center"/>
          </w:tcPr>
          <w:p>
            <w:pPr>
              <w:pStyle w:val="15"/>
              <w:spacing w:before="98"/>
              <w:ind w:left="472"/>
              <w:jc w:val="left"/>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676" w:type="pct"/>
            <w:gridSpan w:val="3"/>
          </w:tcPr>
          <w:p>
            <w:pPr>
              <w:pStyle w:val="15"/>
              <w:tabs>
                <w:tab w:val="left" w:pos="703"/>
              </w:tabs>
              <w:spacing w:before="98"/>
              <w:ind w:firstLine="240" w:firstLineChars="100"/>
              <w:jc w:val="left"/>
              <w:rPr>
                <w:rFonts w:hint="eastAsia" w:ascii="宋体" w:hAnsi="宋体" w:eastAsia="宋体" w:cs="宋体"/>
                <w:spacing w:val="0"/>
                <w:sz w:val="24"/>
                <w:szCs w:val="24"/>
              </w:rPr>
            </w:pPr>
            <w:r>
              <w:rPr>
                <w:rFonts w:hint="eastAsia" w:cs="宋体"/>
                <w:spacing w:val="0"/>
                <w:sz w:val="24"/>
                <w:szCs w:val="24"/>
                <w:lang w:val="en-US" w:eastAsia="zh-CN"/>
              </w:rPr>
              <w:t>977677.52</w:t>
            </w:r>
            <w:r>
              <w:rPr>
                <w:rFonts w:hint="eastAsia" w:ascii="宋体" w:hAnsi="宋体" w:eastAsia="宋体" w:cs="宋体"/>
                <w:spacing w:val="0"/>
                <w:sz w:val="24"/>
                <w:szCs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23" w:type="pct"/>
            <w:gridSpan w:val="2"/>
            <w:vAlign w:val="center"/>
          </w:tcPr>
          <w:p>
            <w:pPr>
              <w:pStyle w:val="15"/>
              <w:spacing w:before="98"/>
              <w:ind w:left="683"/>
              <w:jc w:val="left"/>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676" w:type="pct"/>
            <w:gridSpan w:val="3"/>
          </w:tcPr>
          <w:p>
            <w:pPr>
              <w:pStyle w:val="15"/>
              <w:tabs>
                <w:tab w:val="left" w:pos="3478"/>
                <w:tab w:val="left" w:pos="5161"/>
              </w:tabs>
              <w:spacing w:before="98"/>
              <w:ind w:left="106"/>
              <w:rPr>
                <w:rFonts w:hint="eastAsia" w:ascii="宋体" w:hAnsi="宋体" w:eastAsia="宋体" w:cs="宋体"/>
                <w:spacing w:val="0"/>
                <w:sz w:val="24"/>
                <w:szCs w:val="24"/>
              </w:rPr>
            </w:pPr>
            <w:r>
              <w:rPr>
                <w:rFonts w:hint="eastAsia" w:ascii="宋体" w:hAnsi="宋体" w:eastAsia="宋体" w:cs="宋体"/>
                <w:spacing w:val="0"/>
                <w:sz w:val="24"/>
                <w:szCs w:val="24"/>
              </w:rPr>
              <w:t>1、财政性资金（ √ ）</w:t>
            </w:r>
            <w:r>
              <w:rPr>
                <w:rFonts w:hint="eastAsia" w:ascii="宋体" w:hAnsi="宋体" w:eastAsia="宋体" w:cs="宋体"/>
                <w:spacing w:val="0"/>
                <w:sz w:val="24"/>
                <w:szCs w:val="24"/>
              </w:rPr>
              <w:tab/>
            </w:r>
            <w:r>
              <w:rPr>
                <w:rFonts w:hint="eastAsia" w:ascii="宋体" w:hAnsi="宋体" w:eastAsia="宋体" w:cs="宋体"/>
                <w:spacing w:val="0"/>
                <w:sz w:val="24"/>
                <w:szCs w:val="24"/>
              </w:rPr>
              <w:t>2、其他资金（</w:t>
            </w:r>
            <w:r>
              <w:rPr>
                <w:rFonts w:hint="eastAsia" w:ascii="宋体" w:hAnsi="宋体" w:eastAsia="宋体" w:cs="宋体"/>
                <w:spacing w:val="0"/>
                <w:sz w:val="24"/>
                <w:szCs w:val="24"/>
              </w:rPr>
              <w:tab/>
            </w:r>
            <w:r>
              <w:rPr>
                <w:rFonts w:hint="eastAsia" w:ascii="宋体" w:hAnsi="宋体" w:eastAsia="宋体" w:cs="宋体"/>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323" w:type="pct"/>
            <w:gridSpan w:val="2"/>
            <w:vAlign w:val="center"/>
          </w:tcPr>
          <w:p>
            <w:pPr>
              <w:pStyle w:val="15"/>
              <w:spacing w:before="97"/>
              <w:ind w:left="768" w:right="760"/>
              <w:jc w:val="left"/>
              <w:rPr>
                <w:rFonts w:hint="eastAsia" w:ascii="宋体" w:hAnsi="宋体" w:eastAsia="宋体" w:cs="宋体"/>
                <w:spacing w:val="0"/>
                <w:sz w:val="24"/>
                <w:szCs w:val="24"/>
              </w:rPr>
            </w:pPr>
            <w:r>
              <w:rPr>
                <w:rFonts w:hint="eastAsia" w:ascii="宋体" w:hAnsi="宋体" w:eastAsia="宋体" w:cs="宋体"/>
                <w:spacing w:val="0"/>
                <w:sz w:val="24"/>
                <w:szCs w:val="24"/>
              </w:rPr>
              <w:t>联系人</w:t>
            </w:r>
          </w:p>
        </w:tc>
        <w:tc>
          <w:tcPr>
            <w:tcW w:w="1539" w:type="pct"/>
            <w:gridSpan w:val="2"/>
          </w:tcPr>
          <w:p>
            <w:pPr>
              <w:pStyle w:val="15"/>
              <w:keepNext w:val="0"/>
              <w:keepLines w:val="0"/>
              <w:pageBreakBefore w:val="0"/>
              <w:widowControl w:val="0"/>
              <w:kinsoku/>
              <w:wordWrap/>
              <w:overflowPunct/>
              <w:topLinePunct w:val="0"/>
              <w:autoSpaceDE w:val="0"/>
              <w:autoSpaceDN w:val="0"/>
              <w:bidi w:val="0"/>
              <w:adjustRightInd/>
              <w:snapToGrid/>
              <w:spacing w:before="97"/>
              <w:ind w:righ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联系电话</w:t>
            </w:r>
          </w:p>
        </w:tc>
        <w:tc>
          <w:tcPr>
            <w:tcW w:w="2137" w:type="pct"/>
          </w:tcPr>
          <w:p>
            <w:pPr>
              <w:pStyle w:val="15"/>
              <w:spacing w:before="105"/>
              <w:ind w:left="899" w:right="888"/>
              <w:jc w:val="center"/>
              <w:rPr>
                <w:rFonts w:hint="eastAsia" w:ascii="宋体" w:hAnsi="宋体" w:eastAsia="宋体" w:cs="宋体"/>
                <w:spacing w:val="0"/>
                <w:sz w:val="24"/>
                <w:szCs w:val="24"/>
              </w:rPr>
            </w:pPr>
            <w:r>
              <w:rPr>
                <w:rFonts w:hint="eastAsia" w:ascii="宋体" w:hAnsi="宋体" w:eastAsia="宋体" w:cs="宋体"/>
                <w:spacing w:val="0"/>
                <w:sz w:val="24"/>
                <w:szCs w:val="24"/>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23" w:type="pct"/>
            <w:gridSpan w:val="2"/>
            <w:vAlign w:val="center"/>
          </w:tcPr>
          <w:p>
            <w:pPr>
              <w:pStyle w:val="15"/>
              <w:spacing w:before="97"/>
              <w:ind w:left="768" w:right="760"/>
              <w:jc w:val="center"/>
              <w:rPr>
                <w:rFonts w:hint="default" w:ascii="宋体" w:hAnsi="宋体" w:eastAsia="宋体" w:cs="宋体"/>
                <w:spacing w:val="0"/>
                <w:sz w:val="24"/>
                <w:szCs w:val="24"/>
                <w:lang w:val="en-US" w:eastAsia="zh-CN"/>
              </w:rPr>
            </w:pPr>
            <w:r>
              <w:rPr>
                <w:rFonts w:hint="eastAsia" w:cs="宋体"/>
                <w:spacing w:val="0"/>
                <w:sz w:val="24"/>
                <w:szCs w:val="24"/>
                <w:lang w:val="en-US" w:eastAsia="zh-CN"/>
              </w:rPr>
              <w:t>邹先生</w:t>
            </w:r>
          </w:p>
        </w:tc>
        <w:tc>
          <w:tcPr>
            <w:tcW w:w="1539" w:type="pct"/>
            <w:gridSpan w:val="2"/>
            <w:vAlign w:val="center"/>
          </w:tcPr>
          <w:p>
            <w:pPr>
              <w:pStyle w:val="15"/>
              <w:spacing w:before="97"/>
              <w:jc w:val="center"/>
              <w:rPr>
                <w:rFonts w:hint="default" w:ascii="宋体" w:hAnsi="宋体" w:eastAsia="宋体" w:cs="宋体"/>
                <w:spacing w:val="0"/>
                <w:sz w:val="24"/>
                <w:szCs w:val="24"/>
                <w:lang w:val="en-US" w:eastAsia="zh-CN"/>
              </w:rPr>
            </w:pPr>
            <w:r>
              <w:rPr>
                <w:rFonts w:hint="eastAsia" w:cs="宋体"/>
                <w:spacing w:val="0"/>
                <w:sz w:val="24"/>
                <w:szCs w:val="24"/>
                <w:lang w:val="en-US" w:eastAsia="zh-CN"/>
              </w:rPr>
              <w:t>18938493197</w:t>
            </w:r>
          </w:p>
        </w:tc>
        <w:tc>
          <w:tcPr>
            <w:tcW w:w="2137" w:type="pct"/>
            <w:vAlign w:val="center"/>
          </w:tcPr>
          <w:p>
            <w:pPr>
              <w:pStyle w:val="15"/>
              <w:spacing w:before="97"/>
              <w:ind w:right="889"/>
              <w:jc w:val="center"/>
              <w:rPr>
                <w:rFonts w:hint="eastAsia" w:ascii="宋体" w:hAnsi="宋体" w:eastAsia="宋体" w:cs="宋体"/>
                <w:spacing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323" w:type="pct"/>
            <w:gridSpan w:val="2"/>
            <w:vAlign w:val="center"/>
          </w:tcPr>
          <w:p>
            <w:pPr>
              <w:pStyle w:val="15"/>
              <w:spacing w:before="20"/>
              <w:ind w:left="683"/>
              <w:jc w:val="left"/>
              <w:rPr>
                <w:rFonts w:hint="eastAsia" w:ascii="宋体" w:hAnsi="宋体" w:eastAsia="宋体" w:cs="宋体"/>
                <w:spacing w:val="0"/>
                <w:sz w:val="24"/>
                <w:szCs w:val="24"/>
              </w:rPr>
            </w:pPr>
            <w:r>
              <w:rPr>
                <w:rFonts w:hint="eastAsia" w:ascii="宋体" w:hAnsi="宋体" w:eastAsia="宋体" w:cs="宋体"/>
                <w:spacing w:val="0"/>
                <w:sz w:val="24"/>
                <w:szCs w:val="24"/>
              </w:rPr>
              <w:t>提供资料</w:t>
            </w:r>
          </w:p>
        </w:tc>
        <w:tc>
          <w:tcPr>
            <w:tcW w:w="3676" w:type="pct"/>
            <w:gridSpan w:val="3"/>
          </w:tcPr>
          <w:p>
            <w:pPr>
              <w:pStyle w:val="15"/>
              <w:tabs>
                <w:tab w:val="left" w:pos="1858"/>
              </w:tabs>
              <w:spacing w:before="20"/>
              <w:ind w:left="284"/>
              <w:jc w:val="center"/>
              <w:rPr>
                <w:rFonts w:hint="eastAsia" w:ascii="宋体" w:hAnsi="宋体" w:eastAsia="宋体" w:cs="宋体"/>
                <w:spacing w:val="0"/>
                <w:sz w:val="24"/>
                <w:szCs w:val="24"/>
              </w:rPr>
            </w:pPr>
            <w:r>
              <w:rPr>
                <w:rFonts w:hint="eastAsia" w:ascii="宋体" w:hAnsi="宋体" w:eastAsia="宋体" w:cs="宋体"/>
                <w:spacing w:val="0"/>
                <w:sz w:val="24"/>
                <w:szCs w:val="24"/>
              </w:rPr>
              <w:t>本需求书共</w:t>
            </w:r>
            <w:r>
              <w:rPr>
                <w:rFonts w:hint="eastAsia" w:ascii="宋体" w:hAnsi="宋体" w:eastAsia="宋体" w:cs="宋体"/>
                <w:spacing w:val="0"/>
                <w:sz w:val="24"/>
                <w:szCs w:val="24"/>
                <w:u w:val="single"/>
              </w:rPr>
              <w:t xml:space="preserve"> </w:t>
            </w:r>
            <w:r>
              <w:rPr>
                <w:rFonts w:hint="eastAsia" w:cs="宋体"/>
                <w:spacing w:val="0"/>
                <w:sz w:val="24"/>
                <w:szCs w:val="24"/>
                <w:u w:val="single"/>
                <w:lang w:val="en-US" w:eastAsia="zh-CN"/>
              </w:rPr>
              <w:t xml:space="preserve"> 4  </w:t>
            </w:r>
            <w:r>
              <w:rPr>
                <w:rFonts w:hint="eastAsia" w:ascii="宋体" w:hAnsi="宋体" w:eastAsia="宋体" w:cs="宋体"/>
                <w:spacing w:val="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15"/>
              <w:spacing w:before="98"/>
              <w:ind w:left="107"/>
              <w:rPr>
                <w:b/>
                <w:spacing w:val="0"/>
                <w:sz w:val="21"/>
              </w:rPr>
            </w:pPr>
            <w:r>
              <w:rPr>
                <w:b/>
                <w:spacing w:val="0"/>
                <w:sz w:val="24"/>
                <w:szCs w:val="24"/>
              </w:rPr>
              <w:t>二、商务部分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32" w:type="pct"/>
          </w:tcPr>
          <w:p>
            <w:pPr>
              <w:pStyle w:val="15"/>
              <w:keepNext w:val="0"/>
              <w:keepLines w:val="0"/>
              <w:pageBreakBefore w:val="0"/>
              <w:widowControl w:val="0"/>
              <w:kinsoku/>
              <w:wordWrap/>
              <w:overflowPunct/>
              <w:topLinePunct w:val="0"/>
              <w:autoSpaceDE w:val="0"/>
              <w:autoSpaceDN w:val="0"/>
              <w:bidi w:val="0"/>
              <w:adjustRightInd/>
              <w:snapToGrid/>
              <w:spacing w:before="98"/>
              <w:ind w:right="0"/>
              <w:jc w:val="center"/>
              <w:textAlignment w:val="auto"/>
              <w:rPr>
                <w:spacing w:val="0"/>
                <w:sz w:val="24"/>
                <w:szCs w:val="24"/>
              </w:rPr>
            </w:pPr>
            <w:r>
              <w:rPr>
                <w:spacing w:val="0"/>
                <w:sz w:val="24"/>
                <w:szCs w:val="24"/>
              </w:rPr>
              <w:t>质保期</w:t>
            </w:r>
          </w:p>
        </w:tc>
        <w:tc>
          <w:tcPr>
            <w:tcW w:w="1083" w:type="pct"/>
            <w:gridSpan w:val="2"/>
          </w:tcPr>
          <w:p>
            <w:pPr>
              <w:pStyle w:val="15"/>
              <w:spacing w:before="98"/>
              <w:ind w:left="604"/>
              <w:jc w:val="left"/>
              <w:rPr>
                <w:spacing w:val="0"/>
                <w:sz w:val="24"/>
                <w:szCs w:val="24"/>
              </w:rPr>
            </w:pPr>
            <w:r>
              <w:rPr>
                <w:spacing w:val="0"/>
                <w:sz w:val="24"/>
                <w:szCs w:val="24"/>
              </w:rPr>
              <w:t>保修期</w:t>
            </w:r>
          </w:p>
        </w:tc>
        <w:tc>
          <w:tcPr>
            <w:tcW w:w="2884" w:type="pct"/>
            <w:gridSpan w:val="2"/>
            <w:vAlign w:val="center"/>
          </w:tcPr>
          <w:p>
            <w:pPr>
              <w:pStyle w:val="15"/>
              <w:spacing w:before="98"/>
              <w:jc w:val="center"/>
              <w:rPr>
                <w:spacing w:val="0"/>
                <w:sz w:val="24"/>
                <w:szCs w:val="24"/>
              </w:rPr>
            </w:pPr>
            <w:r>
              <w:rPr>
                <w:spacing w:val="0"/>
                <w:sz w:val="24"/>
                <w:szCs w:val="24"/>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32" w:type="pct"/>
          </w:tcPr>
          <w:p>
            <w:pPr>
              <w:pStyle w:val="15"/>
              <w:spacing w:before="105"/>
              <w:ind w:left="11"/>
              <w:jc w:val="center"/>
              <w:rPr>
                <w:rFonts w:hint="default" w:ascii="Calibri" w:eastAsia="宋体"/>
                <w:spacing w:val="0"/>
                <w:sz w:val="24"/>
                <w:szCs w:val="24"/>
                <w:highlight w:val="red"/>
                <w:lang w:val="en-US" w:eastAsia="zh-CN"/>
              </w:rPr>
            </w:pPr>
            <w:r>
              <w:rPr>
                <w:rFonts w:hint="eastAsia" w:ascii="Calibri"/>
                <w:spacing w:val="0"/>
                <w:sz w:val="24"/>
                <w:szCs w:val="24"/>
                <w:highlight w:val="none"/>
                <w:lang w:val="en-US" w:eastAsia="zh-CN"/>
              </w:rPr>
              <w:t>/</w:t>
            </w:r>
          </w:p>
        </w:tc>
        <w:tc>
          <w:tcPr>
            <w:tcW w:w="1083" w:type="pct"/>
            <w:gridSpan w:val="2"/>
          </w:tcPr>
          <w:p>
            <w:pPr>
              <w:pStyle w:val="15"/>
              <w:keepNext w:val="0"/>
              <w:keepLines w:val="0"/>
              <w:pageBreakBefore w:val="0"/>
              <w:widowControl w:val="0"/>
              <w:kinsoku/>
              <w:wordWrap/>
              <w:overflowPunct/>
              <w:topLinePunct w:val="0"/>
              <w:autoSpaceDE w:val="0"/>
              <w:autoSpaceDN w:val="0"/>
              <w:bidi w:val="0"/>
              <w:adjustRightInd/>
              <w:snapToGrid/>
              <w:spacing w:before="98"/>
              <w:ind w:left="0" w:right="0"/>
              <w:jc w:val="center"/>
              <w:textAlignment w:val="auto"/>
              <w:rPr>
                <w:rFonts w:hint="default" w:eastAsia="宋体"/>
                <w:spacing w:val="0"/>
                <w:sz w:val="24"/>
                <w:szCs w:val="24"/>
                <w:highlight w:val="red"/>
                <w:lang w:val="en-US" w:eastAsia="zh-CN"/>
              </w:rPr>
            </w:pPr>
            <w:r>
              <w:rPr>
                <w:rFonts w:hint="eastAsia"/>
                <w:spacing w:val="0"/>
                <w:sz w:val="24"/>
                <w:szCs w:val="24"/>
                <w:highlight w:val="none"/>
                <w:lang w:val="en-US" w:eastAsia="zh-CN"/>
              </w:rPr>
              <w:t>1年</w:t>
            </w:r>
          </w:p>
        </w:tc>
        <w:tc>
          <w:tcPr>
            <w:tcW w:w="2884" w:type="pct"/>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before="98"/>
              <w:ind w:left="22" w:leftChars="10"/>
              <w:jc w:val="center"/>
              <w:textAlignment w:val="auto"/>
              <w:rPr>
                <w:rFonts w:hint="eastAsia" w:eastAsia="宋体"/>
                <w:spacing w:val="0"/>
                <w:sz w:val="24"/>
                <w:szCs w:val="24"/>
                <w:lang w:eastAsia="zh-CN"/>
              </w:rPr>
            </w:pPr>
            <w:r>
              <w:rPr>
                <w:rFonts w:hint="eastAsia"/>
                <w:spacing w:val="0"/>
                <w:sz w:val="24"/>
                <w:szCs w:val="24"/>
                <w:lang w:val="en-US" w:eastAsia="zh-CN"/>
              </w:rPr>
              <w:t>自合同生效之日起 90 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15"/>
              <w:spacing w:before="97"/>
              <w:ind w:left="3248" w:right="3243"/>
              <w:jc w:val="center"/>
              <w:rPr>
                <w:spacing w:val="0"/>
                <w:sz w:val="21"/>
              </w:rPr>
            </w:pPr>
            <w:r>
              <w:rPr>
                <w:rFonts w:hint="eastAsia"/>
                <w:b/>
                <w:bCs/>
                <w:spacing w:val="0"/>
                <w:sz w:val="24"/>
                <w:szCs w:val="24"/>
                <w:lang w:val="en-US" w:eastAsia="zh-CN"/>
              </w:rPr>
              <w:t>（一）响应</w:t>
            </w:r>
            <w:r>
              <w:rPr>
                <w:b/>
                <w:bCs/>
                <w:spacing w:val="0"/>
                <w:sz w:val="24"/>
                <w:szCs w:val="24"/>
              </w:rPr>
              <w:t>供应商资</w:t>
            </w:r>
            <w:r>
              <w:rPr>
                <w:rFonts w:hint="eastAsia"/>
                <w:b/>
                <w:bCs/>
                <w:spacing w:val="0"/>
                <w:sz w:val="24"/>
                <w:szCs w:val="24"/>
                <w:lang w:val="en-US" w:eastAsia="zh-CN"/>
              </w:rPr>
              <w:t>格</w:t>
            </w:r>
            <w:r>
              <w:rPr>
                <w:b/>
                <w:bCs/>
                <w:spacing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5"/>
            <w:tcBorders>
              <w:bottom w:val="single" w:color="auto" w:sz="4" w:space="0"/>
            </w:tcBorders>
          </w:tcPr>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lang w:val="en-US" w:eastAsia="zh-CN"/>
              </w:rPr>
              <w:t>响应</w:t>
            </w:r>
            <w:r>
              <w:rPr>
                <w:rFonts w:hint="eastAsia"/>
              </w:rPr>
              <w:t>供应商应具备《</w:t>
            </w:r>
            <w:r>
              <w:rPr>
                <w:rFonts w:hint="eastAsia"/>
                <w:lang w:val="en-US" w:eastAsia="zh-CN"/>
              </w:rPr>
              <w:t>中华人民共和国</w:t>
            </w:r>
            <w:r>
              <w:rPr>
                <w:rFonts w:hint="eastAsia"/>
              </w:rPr>
              <w:t>政府采购法》第二十二条规定的条件，提供下列材料：</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具有独立承担民事责任的能力；</w:t>
            </w: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具有良好的商业信誉和健全的财务会计制度；</w:t>
            </w:r>
          </w:p>
          <w:p>
            <w:pPr>
              <w:pStyle w:val="6"/>
              <w:keepNext w:val="0"/>
              <w:keepLines w:val="0"/>
              <w:pageBreakBefore w:val="0"/>
              <w:numPr>
                <w:ilvl w:val="0"/>
                <w:numId w:val="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具有履行合同所必需的设备和专业技术能力</w:t>
            </w:r>
            <w:r>
              <w:rPr>
                <w:rFonts w:hint="eastAsia"/>
              </w:rPr>
              <w:t>；</w:t>
            </w: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有依法缴纳税收证明和社会保障资金的良好记录；</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参加采购活动前3年内，在经营活动中没有重大违法记录；</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rPr>
              <w:t>供应商必须符合法律、行政法规规定的其他条件</w:t>
            </w:r>
            <w:r>
              <w:rPr>
                <w:rFonts w:hint="eastAsia"/>
                <w:lang w:eastAsia="zh-CN"/>
              </w:rPr>
              <w:t>。</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供应商特定资格要求：</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本项目为专门面向中小企业采购的采购项目。【提供中小企业声明函】</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响应供应商须具备建设行政主管部门核发的公路工程施工总承包或市政公用工程施工总承包叁级以上（含叁级）资质证书（有效期内）；</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响应供应商须具备建设行政主管部门核发的安全生产许可证（有效期内）；</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如相关失信记录已失效，需提供相关证明资料）</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本项目不接受联合体投标，不允许分包和转包；</w:t>
            </w:r>
          </w:p>
          <w:p>
            <w:pPr>
              <w:pStyle w:val="9"/>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pPr>
            <w:r>
              <w:rPr>
                <w:rFonts w:hint="eastAsia" w:ascii="宋体" w:hAnsi="宋体" w:eastAsia="宋体" w:cs="宋体"/>
                <w:lang w:val="en-US" w:eastAsia="zh-CN"/>
              </w:rPr>
              <w:t>（注：对供应商的资格审查以谈判小组的评审结论为准。）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5000" w:type="pct"/>
            <w:gridSpan w:val="5"/>
            <w:tcBorders>
              <w:bottom w:val="single" w:color="auto" w:sz="4" w:space="0"/>
            </w:tcBorders>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（二）</w:t>
            </w:r>
            <w:r>
              <w:rPr>
                <w:rFonts w:hint="eastAsia" w:ascii="宋体" w:hAnsi="宋体" w:eastAsia="宋体" w:cs="宋体"/>
                <w:b/>
                <w:bCs/>
                <w:spacing w:val="0"/>
                <w:kern w:val="0"/>
                <w:sz w:val="24"/>
                <w:szCs w:val="24"/>
                <w:lang w:val="en-US" w:eastAsia="zh-CN" w:bidi="zh-CN"/>
              </w:rPr>
              <w:t>承包方式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5000" w:type="pct"/>
            <w:gridSpan w:val="5"/>
            <w:tcBorders>
              <w:bottom w:val="single" w:color="auto" w:sz="4" w:space="0"/>
            </w:tcBorders>
            <w:vAlign w:val="top"/>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根据采购人提供的图纸和工程量清单等相关资料为依据，由成交人包材料、包施工、包质量、包工期、包安全进行，招标图纸和工程量清单不符时，以招标图纸为准。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000" w:type="pct"/>
            <w:gridSpan w:val="5"/>
            <w:tcBorders>
              <w:bottom w:val="single" w:color="auto" w:sz="4" w:space="0"/>
            </w:tcBorders>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（三）质量要求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0" w:hRule="atLeast"/>
          <w:jc w:val="center"/>
        </w:trPr>
        <w:tc>
          <w:tcPr>
            <w:tcW w:w="5000" w:type="pct"/>
            <w:gridSpan w:val="5"/>
            <w:tcBorders>
              <w:bottom w:val="single" w:color="auto" w:sz="4" w:space="0"/>
            </w:tcBorders>
            <w:vAlign w:val="top"/>
          </w:tcPr>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000" w:type="pct"/>
            <w:gridSpan w:val="5"/>
            <w:tcBorders>
              <w:bottom w:val="single" w:color="auto" w:sz="4" w:space="0"/>
            </w:tcBorders>
            <w:vAlign w:val="center"/>
          </w:tcPr>
          <w:p>
            <w:pPr>
              <w:pStyle w:val="8"/>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cs="宋体"/>
                <w:b/>
                <w:bCs/>
                <w:spacing w:val="0"/>
                <w:kern w:val="0"/>
                <w:sz w:val="24"/>
                <w:szCs w:val="24"/>
                <w:lang w:val="en-US" w:eastAsia="zh-CN" w:bidi="zh-CN"/>
              </w:rPr>
              <w:t>（四）</w:t>
            </w:r>
            <w:r>
              <w:rPr>
                <w:rFonts w:hint="eastAsia" w:cs="宋体"/>
                <w:b/>
                <w:bCs/>
                <w:spacing w:val="0"/>
                <w:sz w:val="24"/>
                <w:szCs w:val="24"/>
                <w:lang w:val="en-US" w:eastAsia="zh-CN" w:bidi="zh-CN"/>
              </w:rPr>
              <w:t>实施条件及管理要求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000" w:type="pct"/>
            <w:gridSpan w:val="5"/>
            <w:tcBorders>
              <w:bottom w:val="single" w:color="auto" w:sz="4" w:space="0"/>
            </w:tcBorders>
            <w:vAlign w:val="top"/>
          </w:tcPr>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成交人应确保施工现场的清洁卫生，建筑垃圾须当日清理干净，不得留在现场过夜；成交人在施工组织设计中必须有专项干扰噪声及环保措施、安全文明措施，必须符合云浮市安全文明工地标准。</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成交人一旦进场施工，须严格遵守采购人的各项规章制度，包括但不限于：</w:t>
            </w:r>
          </w:p>
          <w:p>
            <w:pPr>
              <w:pStyle w:val="9"/>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在规定的地域施工和活动；</w:t>
            </w:r>
          </w:p>
          <w:p>
            <w:pPr>
              <w:pStyle w:val="9"/>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项目经理和管理人员须坚守岗位，因事需离开施工现场的，须提前向采购人请假，经采购人同意方可离开。</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000" w:type="pct"/>
            <w:gridSpan w:val="5"/>
            <w:tcBorders>
              <w:bottom w:val="single" w:color="auto" w:sz="4" w:space="0"/>
            </w:tcBorders>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（五）安全文明施工措施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0" w:hRule="atLeast"/>
          <w:jc w:val="center"/>
        </w:trPr>
        <w:tc>
          <w:tcPr>
            <w:tcW w:w="5000" w:type="pct"/>
            <w:gridSpan w:val="5"/>
            <w:tcBorders>
              <w:bottom w:val="single" w:color="auto" w:sz="4" w:space="0"/>
            </w:tcBorders>
            <w:vAlign w:val="center"/>
          </w:tcPr>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成交人必须在施工现场显眼位置设置正规施工警示牌、工程概况牌，标注“温馨提示”语言。靠近人行通道边（或建设方以为有必要的其他周边）必须用整齐美观的板材围住；</w:t>
            </w:r>
          </w:p>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成交人必须在施工过程中注意自身及周边安全，做好现场及周边安全设施搭设，遵守有关安全保护规程，负责施工过程中的所有事故处理和费用；</w:t>
            </w:r>
          </w:p>
          <w:p>
            <w:pPr>
              <w:pStyle w:val="9"/>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r>
              <w:rPr>
                <w:rFonts w:hint="eastAsia" w:cs="宋体"/>
                <w:spacing w:val="0"/>
                <w:kern w:val="0"/>
                <w:sz w:val="24"/>
                <w:szCs w:val="24"/>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000" w:type="pct"/>
            <w:gridSpan w:val="5"/>
            <w:tcBorders>
              <w:bottom w:val="single" w:color="auto" w:sz="4" w:space="0"/>
            </w:tcBorders>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（六）</w:t>
            </w:r>
            <w:r>
              <w:rPr>
                <w:rFonts w:hint="eastAsia" w:ascii="宋体" w:hAnsi="宋体" w:eastAsia="宋体" w:cs="宋体"/>
                <w:b/>
                <w:bCs/>
                <w:spacing w:val="0"/>
                <w:kern w:val="0"/>
                <w:sz w:val="24"/>
                <w:szCs w:val="24"/>
                <w:lang w:val="en-US" w:eastAsia="zh-CN" w:bidi="zh-CN"/>
              </w:rPr>
              <w:t>保修期</w:t>
            </w:r>
            <w:r>
              <w:rPr>
                <w:rFonts w:hint="eastAsia" w:cs="宋体"/>
                <w:b/>
                <w:bCs/>
                <w:spacing w:val="0"/>
                <w:kern w:val="0"/>
                <w:sz w:val="24"/>
                <w:szCs w:val="24"/>
                <w:lang w:val="en-US" w:eastAsia="zh-CN" w:bidi="zh-CN"/>
              </w:rPr>
              <w:t>及</w:t>
            </w:r>
            <w:r>
              <w:rPr>
                <w:rFonts w:hint="eastAsia" w:ascii="宋体" w:hAnsi="宋体" w:eastAsia="宋体" w:cs="宋体"/>
                <w:b/>
                <w:bCs/>
                <w:spacing w:val="0"/>
                <w:kern w:val="0"/>
                <w:sz w:val="24"/>
                <w:szCs w:val="24"/>
                <w:lang w:val="en-US" w:eastAsia="zh-CN" w:bidi="zh-CN"/>
              </w:rPr>
              <w:t>保修期服务要求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0" w:hRule="atLeast"/>
          <w:jc w:val="center"/>
        </w:trPr>
        <w:tc>
          <w:tcPr>
            <w:tcW w:w="5000" w:type="pct"/>
            <w:gridSpan w:val="5"/>
            <w:tcBorders>
              <w:bottom w:val="single" w:color="auto" w:sz="4" w:space="0"/>
            </w:tcBorders>
          </w:tcPr>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 1 年；</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在工程保修期内，承包人应当根据有关法律以及合同规定，在约定的保修范围、保修期限内承担保修责任。保修的费用由造成质量缺陷的责任方承担。</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5000" w:type="pct"/>
            <w:gridSpan w:val="5"/>
            <w:tcBorders>
              <w:top w:val="single" w:color="auto" w:sz="4" w:space="0"/>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00"/>
              <w:ind w:left="440" w:leftChars="200" w:right="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kern w:val="0"/>
                <w:sz w:val="24"/>
                <w:szCs w:val="24"/>
                <w:lang w:val="en-US" w:eastAsia="zh-CN" w:bidi="zh-CN"/>
              </w:rPr>
              <w:t>（七）</w:t>
            </w:r>
            <w:r>
              <w:rPr>
                <w:rFonts w:hint="eastAsia" w:ascii="宋体" w:hAnsi="宋体" w:eastAsia="宋体" w:cs="宋体"/>
                <w:b/>
                <w:bCs/>
                <w:spacing w:val="0"/>
                <w:kern w:val="0"/>
                <w:sz w:val="24"/>
                <w:szCs w:val="24"/>
                <w:lang w:val="en-US" w:eastAsia="zh-CN" w:bidi="zh-CN"/>
              </w:rPr>
              <w:t>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5000" w:type="pct"/>
            <w:gridSpan w:val="5"/>
            <w:vAlign w:val="center"/>
          </w:tcPr>
          <w:p>
            <w:pPr>
              <w:pStyle w:val="14"/>
              <w:keepNext w:val="0"/>
              <w:keepLines w:val="0"/>
              <w:pageBreakBefore w:val="0"/>
              <w:widowControl w:val="0"/>
              <w:numPr>
                <w:ilvl w:val="0"/>
                <w:numId w:val="9"/>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ascii="宋体" w:hAnsi="宋体" w:eastAsia="宋体" w:cs="宋体"/>
                <w:sz w:val="24"/>
                <w:szCs w:val="24"/>
              </w:rPr>
            </w:pPr>
            <w:r>
              <w:rPr>
                <w:rFonts w:hint="eastAsia" w:cs="宋体"/>
                <w:sz w:val="24"/>
                <w:szCs w:val="24"/>
                <w:lang w:val="en-US" w:eastAsia="zh-CN"/>
              </w:rPr>
              <w:t>1.1 预付款：签订合同后申请支付</w:t>
            </w:r>
            <w:r>
              <w:rPr>
                <w:rFonts w:ascii="宋体" w:hAnsi="宋体" w:eastAsia="宋体" w:cs="宋体"/>
                <w:sz w:val="24"/>
                <w:szCs w:val="24"/>
              </w:rPr>
              <w:t>合同总价的30%；</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hint="eastAsia" w:eastAsia="宋体"/>
                <w:spacing w:val="0"/>
                <w:sz w:val="21"/>
                <w:lang w:eastAsia="zh-CN"/>
              </w:rPr>
            </w:pPr>
            <w:r>
              <w:rPr>
                <w:rFonts w:hint="eastAsia" w:cs="宋体"/>
                <w:sz w:val="24"/>
                <w:szCs w:val="24"/>
                <w:lang w:val="en-US" w:eastAsia="zh-CN"/>
              </w:rPr>
              <w:t xml:space="preserve">1.2 </w:t>
            </w:r>
            <w:r>
              <w:rPr>
                <w:rFonts w:hint="eastAsia" w:ascii="宋体" w:hAnsi="宋体" w:eastAsia="宋体" w:cs="宋体"/>
                <w:sz w:val="24"/>
                <w:szCs w:val="24"/>
              </w:rPr>
              <w:t>完成项目内容并竣工验收后支付</w:t>
            </w:r>
            <w:r>
              <w:rPr>
                <w:rFonts w:ascii="宋体" w:hAnsi="宋体" w:eastAsia="宋体" w:cs="宋体"/>
                <w:sz w:val="24"/>
                <w:szCs w:val="24"/>
              </w:rPr>
              <w:t>合同总价的</w:t>
            </w:r>
            <w:r>
              <w:rPr>
                <w:rFonts w:hint="eastAsia" w:cs="宋体"/>
                <w:sz w:val="24"/>
                <w:szCs w:val="24"/>
                <w:lang w:val="en-US" w:eastAsia="zh-CN"/>
              </w:rPr>
              <w:t>6</w:t>
            </w:r>
            <w:r>
              <w:rPr>
                <w:rFonts w:ascii="宋体" w:hAnsi="宋体" w:eastAsia="宋体" w:cs="宋体"/>
                <w:sz w:val="24"/>
                <w:szCs w:val="24"/>
              </w:rPr>
              <w:t>7%</w:t>
            </w:r>
            <w:r>
              <w:rPr>
                <w:rFonts w:hint="eastAsia" w:cs="宋体"/>
                <w:sz w:val="24"/>
                <w:szCs w:val="24"/>
                <w:lang w:eastAsia="zh-CN"/>
              </w:rPr>
              <w:t>；</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ascii="宋体" w:hAnsi="宋体" w:eastAsia="宋体" w:cs="宋体"/>
                <w:sz w:val="24"/>
                <w:szCs w:val="24"/>
              </w:rPr>
            </w:pPr>
            <w:r>
              <w:rPr>
                <w:rFonts w:hint="eastAsia" w:cs="宋体"/>
                <w:sz w:val="24"/>
                <w:szCs w:val="24"/>
                <w:lang w:val="en-US" w:eastAsia="zh-CN"/>
              </w:rPr>
              <w:t xml:space="preserve">1.3 </w:t>
            </w:r>
            <w:r>
              <w:rPr>
                <w:rFonts w:ascii="宋体" w:hAnsi="宋体" w:eastAsia="宋体" w:cs="宋体"/>
                <w:sz w:val="24"/>
                <w:szCs w:val="24"/>
              </w:rPr>
              <w:t>余下3%作为质保金，在保修期内若无出现违反合同情形的，在保修期期满后</w:t>
            </w:r>
            <w:r>
              <w:rPr>
                <w:rFonts w:hint="eastAsia" w:ascii="宋体" w:hAnsi="宋体" w:eastAsia="宋体" w:cs="宋体"/>
                <w:sz w:val="24"/>
                <w:szCs w:val="24"/>
                <w:lang w:val="en-US" w:eastAsia="zh-CN"/>
              </w:rPr>
              <w:t>15天内</w:t>
            </w:r>
            <w:r>
              <w:rPr>
                <w:rFonts w:ascii="宋体" w:hAnsi="宋体" w:eastAsia="宋体" w:cs="宋体"/>
                <w:sz w:val="24"/>
                <w:szCs w:val="24"/>
              </w:rPr>
              <w:t>无息支付完毕。</w:t>
            </w:r>
          </w:p>
          <w:p>
            <w:pPr>
              <w:pStyle w:val="14"/>
              <w:keepNext w:val="0"/>
              <w:keepLines w:val="0"/>
              <w:pageBreakBefore w:val="0"/>
              <w:widowControl w:val="0"/>
              <w:numPr>
                <w:ilvl w:val="0"/>
                <w:numId w:val="9"/>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14"/>
              <w:keepNext w:val="0"/>
              <w:keepLines w:val="0"/>
              <w:pageBreakBefore w:val="0"/>
              <w:widowControl w:val="0"/>
              <w:numPr>
                <w:ilvl w:val="0"/>
                <w:numId w:val="9"/>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5000" w:type="pct"/>
            <w:gridSpan w:val="5"/>
            <w:vAlign w:val="center"/>
          </w:tcPr>
          <w:p>
            <w:pPr>
              <w:pStyle w:val="14"/>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45" w:after="0" w:line="360" w:lineRule="auto"/>
              <w:ind w:leftChars="50" w:right="0" w:rightChars="0"/>
              <w:jc w:val="center"/>
              <w:textAlignment w:val="auto"/>
              <w:rPr>
                <w:rFonts w:hint="default" w:eastAsia="宋体"/>
                <w:spacing w:val="0"/>
                <w:sz w:val="21"/>
                <w:szCs w:val="21"/>
                <w:lang w:val="en-US" w:eastAsia="zh-CN"/>
              </w:rPr>
            </w:pPr>
            <w:r>
              <w:rPr>
                <w:rFonts w:hint="eastAsia"/>
                <w:b/>
                <w:bCs/>
                <w:spacing w:val="0"/>
                <w:sz w:val="24"/>
                <w:szCs w:val="24"/>
                <w:lang w:val="en-US" w:eastAsia="zh-CN"/>
              </w:rPr>
              <w:t>（八）验收方案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0" w:hRule="atLeast"/>
          <w:jc w:val="center"/>
        </w:trPr>
        <w:tc>
          <w:tcPr>
            <w:tcW w:w="5000" w:type="pct"/>
            <w:gridSpan w:val="5"/>
          </w:tcPr>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1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spacing w:val="0"/>
                <w:sz w:val="24"/>
                <w:szCs w:val="24"/>
              </w:rPr>
            </w:pPr>
            <w:r>
              <w:rPr>
                <w:rFonts w:hint="eastAsia" w:cs="宋体"/>
                <w:spacing w:val="0"/>
                <w:sz w:val="24"/>
                <w:szCs w:val="24"/>
                <w:lang w:val="en-US" w:eastAsia="zh-CN" w:bidi="zh-CN"/>
              </w:rPr>
              <w:t>成交人若违反相关规定，发生重大生产安全事故的，采购人有权单方面终止合同。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5000" w:type="pct"/>
            <w:gridSpan w:val="5"/>
          </w:tcPr>
          <w:p>
            <w:pPr>
              <w:pStyle w:val="15"/>
              <w:keepNext w:val="0"/>
              <w:keepLines w:val="0"/>
              <w:pageBreakBefore w:val="0"/>
              <w:widowControl w:val="0"/>
              <w:kinsoku/>
              <w:wordWrap/>
              <w:overflowPunct/>
              <w:topLinePunct w:val="0"/>
              <w:autoSpaceDE w:val="0"/>
              <w:autoSpaceDN w:val="0"/>
              <w:bidi w:val="0"/>
              <w:adjustRightInd/>
              <w:snapToGrid/>
              <w:spacing w:before="99"/>
              <w:ind w:right="0"/>
              <w:jc w:val="center"/>
              <w:textAlignment w:val="auto"/>
              <w:rPr>
                <w:spacing w:val="0"/>
                <w:sz w:val="24"/>
                <w:szCs w:val="24"/>
              </w:rPr>
            </w:pPr>
            <w:r>
              <w:rPr>
                <w:rFonts w:hint="eastAsia"/>
                <w:b/>
                <w:bCs/>
                <w:spacing w:val="0"/>
                <w:sz w:val="24"/>
                <w:szCs w:val="24"/>
                <w:lang w:eastAsia="zh-CN"/>
              </w:rPr>
              <w:t>（</w:t>
            </w:r>
            <w:r>
              <w:rPr>
                <w:rFonts w:hint="eastAsia"/>
                <w:b/>
                <w:bCs/>
                <w:spacing w:val="0"/>
                <w:sz w:val="24"/>
                <w:szCs w:val="24"/>
                <w:lang w:val="en-US" w:eastAsia="zh-CN"/>
              </w:rPr>
              <w:t>九</w:t>
            </w:r>
            <w:r>
              <w:rPr>
                <w:rFonts w:hint="eastAsia"/>
                <w:b/>
                <w:bCs/>
                <w:spacing w:val="0"/>
                <w:sz w:val="24"/>
                <w:szCs w:val="24"/>
                <w:lang w:eastAsia="zh-CN"/>
              </w:rPr>
              <w:t>）</w:t>
            </w:r>
            <w:r>
              <w:rPr>
                <w:b/>
                <w:bCs/>
                <w:spacing w:val="0"/>
                <w:sz w:val="24"/>
                <w:szCs w:val="24"/>
              </w:rPr>
              <w:t>售后服务及其他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jc w:val="center"/>
        </w:trPr>
        <w:tc>
          <w:tcPr>
            <w:tcW w:w="5000" w:type="pct"/>
            <w:gridSpan w:val="5"/>
          </w:tcPr>
          <w:p>
            <w:pPr>
              <w:pStyle w:val="15"/>
              <w:keepNext w:val="0"/>
              <w:keepLines w:val="0"/>
              <w:pageBreakBefore w:val="0"/>
              <w:widowControl w:val="0"/>
              <w:numPr>
                <w:ilvl w:val="0"/>
                <w:numId w:val="11"/>
              </w:numPr>
              <w:tabs>
                <w:tab w:val="left" w:pos="420"/>
                <w:tab w:val="clear" w:pos="840"/>
              </w:tabs>
              <w:kinsoku/>
              <w:wordWrap/>
              <w:overflowPunct/>
              <w:topLinePunct w:val="0"/>
              <w:autoSpaceDE w:val="0"/>
              <w:autoSpaceDN w:val="0"/>
              <w:bidi w:val="0"/>
              <w:adjustRightInd/>
              <w:snapToGrid/>
              <w:spacing w:before="101" w:line="360" w:lineRule="auto"/>
              <w:ind w:left="709" w:leftChars="0" w:right="110" w:rightChars="50" w:hanging="425" w:firstLineChars="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供应商须对项目实施提供必要的技术支持和服务保证</w:t>
            </w:r>
            <w:r>
              <w:rPr>
                <w:rFonts w:hint="eastAsia" w:asciiTheme="minorEastAsia" w:hAnsiTheme="minorEastAsia" w:eastAsiaTheme="minorEastAsia" w:cstheme="minorEastAsia"/>
                <w:spacing w:val="0"/>
                <w:sz w:val="24"/>
                <w:szCs w:val="24"/>
                <w:lang w:eastAsia="zh-CN"/>
              </w:rPr>
              <w:t>；</w:t>
            </w:r>
          </w:p>
          <w:p>
            <w:pPr>
              <w:pStyle w:val="15"/>
              <w:keepNext w:val="0"/>
              <w:keepLines w:val="0"/>
              <w:pageBreakBefore w:val="0"/>
              <w:widowControl w:val="0"/>
              <w:numPr>
                <w:ilvl w:val="0"/>
                <w:numId w:val="11"/>
              </w:numPr>
              <w:tabs>
                <w:tab w:val="left" w:pos="420"/>
                <w:tab w:val="clear" w:pos="840"/>
              </w:tabs>
              <w:kinsoku/>
              <w:wordWrap/>
              <w:overflowPunct/>
              <w:topLinePunct w:val="0"/>
              <w:autoSpaceDE w:val="0"/>
              <w:autoSpaceDN w:val="0"/>
              <w:bidi w:val="0"/>
              <w:adjustRightInd/>
              <w:snapToGrid/>
              <w:spacing w:before="1" w:line="360" w:lineRule="auto"/>
              <w:ind w:left="709" w:leftChars="0" w:right="110" w:rightChars="50" w:hanging="425" w:firstLineChars="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最终成果要求：成交人提交的项目成果质量必须符合项目要求且通过采购人的验收</w:t>
            </w:r>
            <w:r>
              <w:rPr>
                <w:rFonts w:hint="eastAsia" w:asciiTheme="minorEastAsia" w:hAnsiTheme="minorEastAsia" w:eastAsiaTheme="minorEastAsia" w:cstheme="minorEastAsia"/>
                <w:spacing w:val="0"/>
                <w:sz w:val="24"/>
                <w:szCs w:val="24"/>
                <w:lang w:eastAsia="zh-CN"/>
              </w:rPr>
              <w:t>；</w:t>
            </w:r>
          </w:p>
          <w:p>
            <w:pPr>
              <w:pStyle w:val="15"/>
              <w:keepNext w:val="0"/>
              <w:keepLines w:val="0"/>
              <w:pageBreakBefore w:val="0"/>
              <w:widowControl w:val="0"/>
              <w:numPr>
                <w:ilvl w:val="0"/>
                <w:numId w:val="11"/>
              </w:numPr>
              <w:tabs>
                <w:tab w:val="left" w:pos="420"/>
                <w:tab w:val="clear" w:pos="840"/>
              </w:tabs>
              <w:kinsoku/>
              <w:wordWrap/>
              <w:overflowPunct/>
              <w:topLinePunct w:val="0"/>
              <w:autoSpaceDE w:val="0"/>
              <w:autoSpaceDN w:val="0"/>
              <w:bidi w:val="0"/>
              <w:adjustRightInd/>
              <w:snapToGrid/>
              <w:spacing w:before="1" w:line="360" w:lineRule="auto"/>
              <w:ind w:left="709" w:leftChars="0" w:right="110" w:rightChars="50" w:hanging="425" w:firstLineChars="0"/>
              <w:textAlignment w:val="auto"/>
              <w:rPr>
                <w:spacing w:val="0"/>
                <w:sz w:val="24"/>
                <w:szCs w:val="24"/>
              </w:rPr>
            </w:pPr>
            <w:r>
              <w:rPr>
                <w:rFonts w:hint="eastAsia" w:asciiTheme="minorEastAsia" w:hAnsiTheme="minorEastAsia" w:eastAsiaTheme="minorEastAsia" w:cstheme="minorEastAsia"/>
                <w:spacing w:val="0"/>
                <w:sz w:val="24"/>
                <w:szCs w:val="24"/>
              </w:rPr>
              <w:t>工程质量不合格、不符合设计标准、达不到设计要求，或施工程序不按施工规范的，采购人有权要求成交人停工和返工，因停工和返工造成的一切损失由成交人自行承担，不予顺延</w:t>
            </w:r>
            <w:r>
              <w:rPr>
                <w:rFonts w:hint="eastAsia" w:asciiTheme="minorEastAsia" w:hAnsiTheme="minorEastAsia" w:eastAsiaTheme="minorEastAsia" w:cstheme="minorEastAsia"/>
                <w:spacing w:val="0"/>
                <w:sz w:val="24"/>
                <w:szCs w:val="24"/>
                <w:lang w:eastAsia="zh-CN"/>
              </w:rPr>
              <w:t>；</w:t>
            </w:r>
          </w:p>
          <w:p>
            <w:pPr>
              <w:pStyle w:val="15"/>
              <w:keepNext w:val="0"/>
              <w:keepLines w:val="0"/>
              <w:pageBreakBefore w:val="0"/>
              <w:widowControl w:val="0"/>
              <w:numPr>
                <w:ilvl w:val="0"/>
                <w:numId w:val="11"/>
              </w:numPr>
              <w:tabs>
                <w:tab w:val="left" w:pos="420"/>
                <w:tab w:val="clear" w:pos="840"/>
              </w:tabs>
              <w:kinsoku/>
              <w:wordWrap/>
              <w:overflowPunct/>
              <w:topLinePunct w:val="0"/>
              <w:autoSpaceDE w:val="0"/>
              <w:autoSpaceDN w:val="0"/>
              <w:bidi w:val="0"/>
              <w:adjustRightInd/>
              <w:snapToGrid/>
              <w:spacing w:before="1" w:line="360" w:lineRule="auto"/>
              <w:ind w:left="709" w:leftChars="0" w:right="110" w:rightChars="50" w:hanging="425" w:firstLineChars="0"/>
              <w:textAlignment w:val="auto"/>
              <w:rPr>
                <w:spacing w:val="0"/>
                <w:sz w:val="24"/>
                <w:szCs w:val="24"/>
              </w:rPr>
            </w:pPr>
            <w:r>
              <w:rPr>
                <w:rFonts w:hint="eastAsia" w:asciiTheme="minorEastAsia" w:hAnsiTheme="minorEastAsia" w:eastAsiaTheme="minorEastAsia" w:cstheme="minorEastAsia"/>
                <w:spacing w:val="0"/>
                <w:sz w:val="24"/>
                <w:szCs w:val="24"/>
                <w:lang w:val="zh-CN" w:eastAsia="zh-CN" w:bidi="zh-CN"/>
              </w:rPr>
              <w:t>因成交人原因致使工</w:t>
            </w:r>
            <w:r>
              <w:rPr>
                <w:rFonts w:hint="eastAsia" w:asciiTheme="minorEastAsia" w:hAnsiTheme="minorEastAsia" w:eastAsiaTheme="minorEastAsia" w:cstheme="minorEastAsia"/>
                <w:spacing w:val="0"/>
                <w:sz w:val="24"/>
                <w:szCs w:val="24"/>
              </w:rPr>
              <w:t>程在国家规定的工程合理使用期限内造成人身和财产损害的，成交人应承担赔偿责任。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15"/>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textAlignment w:val="auto"/>
              <w:rPr>
                <w:rFonts w:hint="eastAsia" w:asciiTheme="minorEastAsia" w:hAnsiTheme="minorEastAsia" w:eastAsiaTheme="minorEastAsia" w:cstheme="minorEastAsia"/>
                <w:spacing w:val="0"/>
                <w:sz w:val="21"/>
                <w:szCs w:val="22"/>
                <w:lang w:val="zh-CN" w:eastAsia="zh-CN" w:bidi="zh-CN"/>
              </w:rPr>
            </w:pPr>
            <w:r>
              <w:rPr>
                <w:rFonts w:hint="eastAsia" w:ascii="宋体" w:hAnsi="宋体" w:eastAsia="宋体" w:cs="宋体"/>
                <w:b/>
                <w:bCs w:val="0"/>
                <w:spacing w:val="0"/>
                <w:sz w:val="24"/>
                <w:szCs w:val="24"/>
                <w:lang w:val="en-US" w:eastAsia="zh-CN" w:bidi="zh-CN"/>
              </w:rPr>
              <w:t>三、</w:t>
            </w:r>
            <w:r>
              <w:rPr>
                <w:rFonts w:hint="eastAsia" w:ascii="宋体" w:hAnsi="宋体" w:eastAsia="宋体" w:cs="宋体"/>
                <w:b/>
                <w:bCs w:val="0"/>
                <w:spacing w:val="0"/>
                <w:sz w:val="24"/>
                <w:szCs w:val="24"/>
                <w:lang w:val="zh-CN" w:eastAsia="zh-CN" w:bidi="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5"/>
            <w:vAlign w:val="center"/>
          </w:tcPr>
          <w:p>
            <w:pPr>
              <w:pStyle w:val="15"/>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jc w:val="center"/>
              <w:textAlignment w:val="auto"/>
              <w:rPr>
                <w:rFonts w:hint="eastAsia" w:asciiTheme="minorEastAsia" w:hAnsiTheme="minorEastAsia" w:eastAsiaTheme="minorEastAsia" w:cstheme="minorEastAsia"/>
                <w:spacing w:val="0"/>
                <w:sz w:val="21"/>
                <w:szCs w:val="22"/>
                <w:lang w:val="zh-CN" w:eastAsia="zh-CN" w:bidi="zh-CN"/>
              </w:rPr>
            </w:pPr>
            <w:r>
              <w:rPr>
                <w:rFonts w:hint="eastAsia" w:cs="宋体"/>
                <w:b/>
                <w:bCs/>
                <w:spacing w:val="0"/>
                <w:sz w:val="24"/>
                <w:szCs w:val="24"/>
                <w:lang w:val="en-US" w:eastAsia="zh-CN" w:bidi="zh-CN"/>
              </w:rPr>
              <w:t>（一）</w:t>
            </w:r>
            <w:r>
              <w:rPr>
                <w:rFonts w:hint="eastAsia" w:ascii="宋体" w:hAnsi="宋体" w:eastAsia="宋体" w:cs="宋体"/>
                <w:b/>
                <w:bCs/>
                <w:spacing w:val="0"/>
                <w:sz w:val="24"/>
                <w:szCs w:val="24"/>
                <w:lang w:val="en-US" w:eastAsia="zh-CN" w:bidi="zh-CN"/>
              </w:rPr>
              <w:t>工程概述、工程相关内容及规模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5" w:hRule="atLeast"/>
          <w:jc w:val="center"/>
        </w:trPr>
        <w:tc>
          <w:tcPr>
            <w:tcW w:w="5000" w:type="pct"/>
            <w:gridSpan w:val="5"/>
            <w:vAlign w:val="center"/>
          </w:tcPr>
          <w:p>
            <w:pPr>
              <w:pStyle w:val="8"/>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line="360" w:lineRule="auto"/>
              <w:ind w:firstLine="480" w:firstLineChars="200"/>
              <w:textAlignment w:val="auto"/>
              <w:rPr>
                <w:rFonts w:hint="eastAsia"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工程概述</w:t>
            </w:r>
            <w:r>
              <w:rPr>
                <w:rFonts w:hint="eastAsia" w:cs="宋体"/>
                <w:b w:val="0"/>
                <w:bCs w:val="0"/>
                <w:spacing w:val="0"/>
                <w:sz w:val="24"/>
                <w:szCs w:val="24"/>
                <w:lang w:val="en-US" w:eastAsia="zh-CN" w:bidi="zh-CN"/>
              </w:rPr>
              <w:t>：</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Chars="200" w:firstLine="480" w:firstLineChars="200"/>
              <w:jc w:val="left"/>
              <w:textAlignment w:val="auto"/>
              <w:rPr>
                <w:rFonts w:hint="default" w:ascii="宋体" w:hAnsi="宋体" w:eastAsia="宋体" w:cs="宋体"/>
                <w:b w:val="0"/>
                <w:bCs w:val="0"/>
                <w:spacing w:val="0"/>
                <w:kern w:val="0"/>
                <w:sz w:val="24"/>
                <w:szCs w:val="24"/>
                <w:lang w:val="en-US" w:eastAsia="zh-CN" w:bidi="zh-CN"/>
              </w:rPr>
            </w:pPr>
            <w:r>
              <w:rPr>
                <w:rFonts w:hint="eastAsia" w:ascii="宋体" w:hAnsi="宋体" w:eastAsia="宋体" w:cs="宋体"/>
                <w:b w:val="0"/>
                <w:bCs w:val="0"/>
                <w:spacing w:val="0"/>
                <w:kern w:val="0"/>
                <w:sz w:val="24"/>
                <w:szCs w:val="24"/>
                <w:lang w:val="en-US" w:eastAsia="zh-CN" w:bidi="zh-CN"/>
              </w:rPr>
              <w:t>为提升道路通行能力及消除交通安全隐患，同意实施汕湛高速簕竹收费站连接线与乡道Y301路口拓宽建设项目</w:t>
            </w:r>
            <w:r>
              <w:rPr>
                <w:rFonts w:hint="eastAsia" w:cs="宋体"/>
                <w:b w:val="0"/>
                <w:bCs w:val="0"/>
                <w:spacing w:val="0"/>
                <w:kern w:val="0"/>
                <w:sz w:val="24"/>
                <w:szCs w:val="24"/>
                <w:lang w:val="en-US" w:eastAsia="zh-CN" w:bidi="zh-CN"/>
              </w:rPr>
              <w:t>。</w:t>
            </w:r>
          </w:p>
          <w:p>
            <w:pPr>
              <w:pStyle w:val="8"/>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line="360" w:lineRule="auto"/>
              <w:ind w:firstLine="480" w:firstLineChars="200"/>
              <w:textAlignment w:val="auto"/>
              <w:rPr>
                <w:rFonts w:hint="eastAsia"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项目主要建设内容及规模</w:t>
            </w:r>
            <w:r>
              <w:rPr>
                <w:rFonts w:hint="eastAsia" w:cs="宋体"/>
                <w:b w:val="0"/>
                <w:bCs w:val="0"/>
                <w:spacing w:val="0"/>
                <w:sz w:val="24"/>
                <w:szCs w:val="24"/>
                <w:lang w:val="en-US" w:eastAsia="zh-CN" w:bidi="zh-CN"/>
              </w:rPr>
              <w:t>：</w:t>
            </w:r>
          </w:p>
          <w:p>
            <w:pPr>
              <w:pStyle w:val="8"/>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firstLine="480" w:firstLineChars="200"/>
              <w:textAlignment w:val="auto"/>
              <w:rPr>
                <w:rFonts w:hint="default" w:cs="宋体"/>
                <w:b w:val="0"/>
                <w:bCs w:val="0"/>
                <w:spacing w:val="0"/>
                <w:sz w:val="24"/>
                <w:szCs w:val="24"/>
                <w:lang w:val="en-US" w:eastAsia="zh-CN" w:bidi="zh-CN"/>
              </w:rPr>
            </w:pPr>
            <w:r>
              <w:rPr>
                <w:rFonts w:hint="eastAsia" w:cs="宋体"/>
                <w:b w:val="0"/>
                <w:bCs w:val="0"/>
                <w:spacing w:val="0"/>
                <w:sz w:val="24"/>
                <w:szCs w:val="24"/>
                <w:lang w:val="en-US" w:eastAsia="zh-CN" w:bidi="zh-CN"/>
              </w:rPr>
              <w:t>拓宽道路浇捣水泥混凝土400平方米；浇筑钢筋混凝土挡土墙 301.63立方米；新建两个绿化岛共98平方米以及设置交通标志等工程。</w:t>
            </w:r>
          </w:p>
        </w:tc>
      </w:tr>
    </w:tbl>
    <w:p>
      <w:pPr>
        <w:rPr>
          <w:rFonts w:hint="eastAsia"/>
        </w:rPr>
      </w:pPr>
      <w:bookmarkStart w:id="0" w:name="_GoBack"/>
      <w:bookmarkEnd w:id="0"/>
    </w:p>
    <w:sectPr>
      <w:footerReference r:id="rId5" w:type="default"/>
      <w:pgSz w:w="11910" w:h="16840"/>
      <w:pgMar w:top="474" w:right="567" w:bottom="1134" w:left="567" w:header="0" w:footer="8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9935845</wp:posOffset>
              </wp:positionV>
              <wp:extent cx="403860" cy="1873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03860" cy="187325"/>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3pt;margin-top:782.35pt;height:14.75pt;width:31.8pt;mso-position-horizontal-relative:page;mso-position-vertical-relative:page;z-index:-251657216;mso-width-relative:page;mso-height-relative:page;" filled="f" stroked="f" coordsize="21600,21600" o:gfxdata="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hvWE2wAAAA0BAAAPAAAAAAAAAAEAIAAAACIAAABkcnMvZG93bnJldi54bWxQ&#10;SwECFAAUAAAACACHTuJAabNr6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C545"/>
    <w:multiLevelType w:val="singleLevel"/>
    <w:tmpl w:val="817CC545"/>
    <w:lvl w:ilvl="0" w:tentative="0">
      <w:start w:val="1"/>
      <w:numFmt w:val="decimal"/>
      <w:lvlText w:val="%1."/>
      <w:lvlJc w:val="left"/>
      <w:pPr>
        <w:tabs>
          <w:tab w:val="left" w:pos="420"/>
        </w:tabs>
        <w:ind w:left="845" w:hanging="425"/>
      </w:pPr>
      <w:rPr>
        <w:rFonts w:hint="default"/>
      </w:rPr>
    </w:lvl>
  </w:abstractNum>
  <w:abstractNum w:abstractNumId="1">
    <w:nsid w:val="9D43A0FD"/>
    <w:multiLevelType w:val="singleLevel"/>
    <w:tmpl w:val="9D43A0FD"/>
    <w:lvl w:ilvl="0" w:tentative="0">
      <w:start w:val="1"/>
      <w:numFmt w:val="decimal"/>
      <w:suff w:val="nothing"/>
      <w:lvlText w:val="（%1）"/>
      <w:lvlJc w:val="left"/>
    </w:lvl>
  </w:abstractNum>
  <w:abstractNum w:abstractNumId="2">
    <w:nsid w:val="CCE8E5A6"/>
    <w:multiLevelType w:val="singleLevel"/>
    <w:tmpl w:val="CCE8E5A6"/>
    <w:lvl w:ilvl="0" w:tentative="0">
      <w:start w:val="1"/>
      <w:numFmt w:val="decimal"/>
      <w:lvlText w:val="%1)"/>
      <w:lvlJc w:val="left"/>
      <w:pPr>
        <w:tabs>
          <w:tab w:val="left" w:pos="420"/>
        </w:tabs>
        <w:ind w:left="845" w:hanging="425"/>
      </w:pPr>
      <w:rPr>
        <w:rFonts w:hint="default"/>
      </w:rPr>
    </w:lvl>
  </w:abstractNum>
  <w:abstractNum w:abstractNumId="3">
    <w:nsid w:val="E8508548"/>
    <w:multiLevelType w:val="singleLevel"/>
    <w:tmpl w:val="E8508548"/>
    <w:lvl w:ilvl="0" w:tentative="0">
      <w:start w:val="1"/>
      <w:numFmt w:val="decimal"/>
      <w:lvlText w:val="%1."/>
      <w:lvlJc w:val="left"/>
      <w:pPr>
        <w:tabs>
          <w:tab w:val="left" w:pos="840"/>
        </w:tabs>
        <w:ind w:left="1265" w:hanging="425"/>
      </w:pPr>
      <w:rPr>
        <w:rFonts w:hint="default"/>
      </w:rPr>
    </w:lvl>
  </w:abstractNum>
  <w:abstractNum w:abstractNumId="4">
    <w:nsid w:val="EAFDAF18"/>
    <w:multiLevelType w:val="singleLevel"/>
    <w:tmpl w:val="EAFDAF18"/>
    <w:lvl w:ilvl="0" w:tentative="0">
      <w:start w:val="1"/>
      <w:numFmt w:val="decimal"/>
      <w:suff w:val="nothing"/>
      <w:lvlText w:val="%1、"/>
      <w:lvlJc w:val="left"/>
    </w:lvl>
  </w:abstractNum>
  <w:abstractNum w:abstractNumId="5">
    <w:nsid w:val="2EA08708"/>
    <w:multiLevelType w:val="singleLevel"/>
    <w:tmpl w:val="2EA08708"/>
    <w:lvl w:ilvl="0" w:tentative="0">
      <w:start w:val="1"/>
      <w:numFmt w:val="decimal"/>
      <w:suff w:val="nothing"/>
      <w:lvlText w:val="%1、"/>
      <w:lvlJc w:val="left"/>
    </w:lvl>
  </w:abstractNum>
  <w:abstractNum w:abstractNumId="6">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7">
    <w:nsid w:val="5CB12905"/>
    <w:multiLevelType w:val="singleLevel"/>
    <w:tmpl w:val="5CB12905"/>
    <w:lvl w:ilvl="0" w:tentative="0">
      <w:start w:val="1"/>
      <w:numFmt w:val="decimal"/>
      <w:suff w:val="nothing"/>
      <w:lvlText w:val="%1、"/>
      <w:lvlJc w:val="left"/>
    </w:lvl>
  </w:abstractNum>
  <w:abstractNum w:abstractNumId="8">
    <w:nsid w:val="6BBA9134"/>
    <w:multiLevelType w:val="singleLevel"/>
    <w:tmpl w:val="6BBA9134"/>
    <w:lvl w:ilvl="0" w:tentative="0">
      <w:start w:val="1"/>
      <w:numFmt w:val="decimal"/>
      <w:suff w:val="nothing"/>
      <w:lvlText w:val="%1、"/>
      <w:lvlJc w:val="left"/>
    </w:lvl>
  </w:abstractNum>
  <w:abstractNum w:abstractNumId="9">
    <w:nsid w:val="72DA93C9"/>
    <w:multiLevelType w:val="singleLevel"/>
    <w:tmpl w:val="72DA93C9"/>
    <w:lvl w:ilvl="0" w:tentative="0">
      <w:start w:val="1"/>
      <w:numFmt w:val="decimal"/>
      <w:suff w:val="nothing"/>
      <w:lvlText w:val="%1、"/>
      <w:lvlJc w:val="left"/>
    </w:lvl>
  </w:abstractNum>
  <w:abstractNum w:abstractNumId="10">
    <w:nsid w:val="7B73BFB9"/>
    <w:multiLevelType w:val="singleLevel"/>
    <w:tmpl w:val="7B73BFB9"/>
    <w:lvl w:ilvl="0" w:tentative="0">
      <w:start w:val="1"/>
      <w:numFmt w:val="decimal"/>
      <w:lvlText w:val="%1)"/>
      <w:lvlJc w:val="left"/>
      <w:pPr>
        <w:tabs>
          <w:tab w:val="left" w:pos="420"/>
        </w:tabs>
        <w:ind w:left="845" w:hanging="425"/>
      </w:pPr>
      <w:rPr>
        <w:rFonts w:hint="default"/>
      </w:rPr>
    </w:lvl>
  </w:abstractNum>
  <w:abstractNum w:abstractNumId="11">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0"/>
  </w:num>
  <w:num w:numId="3">
    <w:abstractNumId w:val="2"/>
  </w:num>
  <w:num w:numId="4">
    <w:abstractNumId w:val="5"/>
  </w:num>
  <w:num w:numId="5">
    <w:abstractNumId w:val="4"/>
  </w:num>
  <w:num w:numId="6">
    <w:abstractNumId w:val="1"/>
  </w:num>
  <w:num w:numId="7">
    <w:abstractNumId w:val="8"/>
  </w:num>
  <w:num w:numId="8">
    <w:abstractNumId w:val="7"/>
  </w:num>
  <w:num w:numId="9">
    <w:abstractNumId w:val="11"/>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058"/>
    <w:rsid w:val="00E71FAB"/>
    <w:rsid w:val="01682EC9"/>
    <w:rsid w:val="04525202"/>
    <w:rsid w:val="04781A8C"/>
    <w:rsid w:val="04C16FA5"/>
    <w:rsid w:val="050A730C"/>
    <w:rsid w:val="05AC0BE4"/>
    <w:rsid w:val="05C46585"/>
    <w:rsid w:val="078F6B82"/>
    <w:rsid w:val="07EC2C65"/>
    <w:rsid w:val="08FD64BE"/>
    <w:rsid w:val="098D6C26"/>
    <w:rsid w:val="09B370B6"/>
    <w:rsid w:val="0A704A3C"/>
    <w:rsid w:val="0C412E8C"/>
    <w:rsid w:val="0CA26282"/>
    <w:rsid w:val="0E001B6A"/>
    <w:rsid w:val="0E2E7435"/>
    <w:rsid w:val="0E641A68"/>
    <w:rsid w:val="0F536807"/>
    <w:rsid w:val="10C86CC9"/>
    <w:rsid w:val="10D005C7"/>
    <w:rsid w:val="10E96CB6"/>
    <w:rsid w:val="14105760"/>
    <w:rsid w:val="14901A49"/>
    <w:rsid w:val="14DD538E"/>
    <w:rsid w:val="15A304FC"/>
    <w:rsid w:val="16E17B1A"/>
    <w:rsid w:val="172106BE"/>
    <w:rsid w:val="173F7FBA"/>
    <w:rsid w:val="18DA3AF5"/>
    <w:rsid w:val="18ED1F36"/>
    <w:rsid w:val="1ACA55E5"/>
    <w:rsid w:val="1B965E81"/>
    <w:rsid w:val="1BB52A4E"/>
    <w:rsid w:val="1C177242"/>
    <w:rsid w:val="1C234203"/>
    <w:rsid w:val="1C38322A"/>
    <w:rsid w:val="1C64054E"/>
    <w:rsid w:val="1D2D10A5"/>
    <w:rsid w:val="1D437C92"/>
    <w:rsid w:val="1D73196C"/>
    <w:rsid w:val="1EF503D0"/>
    <w:rsid w:val="20526A4E"/>
    <w:rsid w:val="20F91DB7"/>
    <w:rsid w:val="23B30402"/>
    <w:rsid w:val="24432F3C"/>
    <w:rsid w:val="25B41F58"/>
    <w:rsid w:val="25EE11E5"/>
    <w:rsid w:val="2655155E"/>
    <w:rsid w:val="26A32EAE"/>
    <w:rsid w:val="27A26FDA"/>
    <w:rsid w:val="27B62482"/>
    <w:rsid w:val="282428F5"/>
    <w:rsid w:val="28350732"/>
    <w:rsid w:val="28AC7E35"/>
    <w:rsid w:val="29B6438A"/>
    <w:rsid w:val="2A5B2546"/>
    <w:rsid w:val="2A5C329C"/>
    <w:rsid w:val="2A77474C"/>
    <w:rsid w:val="2AFB2629"/>
    <w:rsid w:val="2B3A3F63"/>
    <w:rsid w:val="2B7D4570"/>
    <w:rsid w:val="2BD16607"/>
    <w:rsid w:val="2C674691"/>
    <w:rsid w:val="2D7D6DD9"/>
    <w:rsid w:val="2E1579A5"/>
    <w:rsid w:val="2E36037D"/>
    <w:rsid w:val="2EF8369B"/>
    <w:rsid w:val="30C91943"/>
    <w:rsid w:val="31E2795E"/>
    <w:rsid w:val="336623C3"/>
    <w:rsid w:val="33D46705"/>
    <w:rsid w:val="346658AC"/>
    <w:rsid w:val="34F06CCF"/>
    <w:rsid w:val="35176265"/>
    <w:rsid w:val="36234E73"/>
    <w:rsid w:val="367C3834"/>
    <w:rsid w:val="36BC5A2F"/>
    <w:rsid w:val="37802931"/>
    <w:rsid w:val="38114B33"/>
    <w:rsid w:val="38AD0108"/>
    <w:rsid w:val="38D136FA"/>
    <w:rsid w:val="390030B3"/>
    <w:rsid w:val="393566C3"/>
    <w:rsid w:val="39D828A6"/>
    <w:rsid w:val="3BDC5C28"/>
    <w:rsid w:val="3C6C5463"/>
    <w:rsid w:val="3D6579F4"/>
    <w:rsid w:val="3E1742C5"/>
    <w:rsid w:val="3E501E16"/>
    <w:rsid w:val="3FFA300B"/>
    <w:rsid w:val="400F6A0B"/>
    <w:rsid w:val="403C7F0E"/>
    <w:rsid w:val="409334B2"/>
    <w:rsid w:val="40E606D3"/>
    <w:rsid w:val="42A123F0"/>
    <w:rsid w:val="42AD7C07"/>
    <w:rsid w:val="43C53228"/>
    <w:rsid w:val="443741FF"/>
    <w:rsid w:val="44663FF8"/>
    <w:rsid w:val="44F05A0A"/>
    <w:rsid w:val="4526223F"/>
    <w:rsid w:val="477110BB"/>
    <w:rsid w:val="48C27F92"/>
    <w:rsid w:val="49F41AD3"/>
    <w:rsid w:val="4A5F5637"/>
    <w:rsid w:val="4A945F1F"/>
    <w:rsid w:val="4B06034C"/>
    <w:rsid w:val="4B160F43"/>
    <w:rsid w:val="4BB57658"/>
    <w:rsid w:val="4C410049"/>
    <w:rsid w:val="4C4E016E"/>
    <w:rsid w:val="4D066278"/>
    <w:rsid w:val="4EB83B41"/>
    <w:rsid w:val="4EC06774"/>
    <w:rsid w:val="4ED16557"/>
    <w:rsid w:val="502C4D08"/>
    <w:rsid w:val="502D5496"/>
    <w:rsid w:val="519B652D"/>
    <w:rsid w:val="521F44B0"/>
    <w:rsid w:val="52F26847"/>
    <w:rsid w:val="55E969CC"/>
    <w:rsid w:val="57732218"/>
    <w:rsid w:val="57801A81"/>
    <w:rsid w:val="57EF515F"/>
    <w:rsid w:val="58B772F1"/>
    <w:rsid w:val="59626903"/>
    <w:rsid w:val="5A027D23"/>
    <w:rsid w:val="5A72737C"/>
    <w:rsid w:val="5AE9073F"/>
    <w:rsid w:val="5B1D3341"/>
    <w:rsid w:val="5BD06125"/>
    <w:rsid w:val="5D995DEF"/>
    <w:rsid w:val="5F70438E"/>
    <w:rsid w:val="5F9E4190"/>
    <w:rsid w:val="5FFA2B0D"/>
    <w:rsid w:val="603D095A"/>
    <w:rsid w:val="616636A1"/>
    <w:rsid w:val="61A42232"/>
    <w:rsid w:val="625F1610"/>
    <w:rsid w:val="62F61D0A"/>
    <w:rsid w:val="632D1A8B"/>
    <w:rsid w:val="634070CE"/>
    <w:rsid w:val="63566A94"/>
    <w:rsid w:val="65510FAE"/>
    <w:rsid w:val="665B7209"/>
    <w:rsid w:val="66BA660E"/>
    <w:rsid w:val="67474568"/>
    <w:rsid w:val="6C8D4BBD"/>
    <w:rsid w:val="6D501109"/>
    <w:rsid w:val="6D885CF4"/>
    <w:rsid w:val="6E563E41"/>
    <w:rsid w:val="6EEC06E2"/>
    <w:rsid w:val="6FED0586"/>
    <w:rsid w:val="70E57BF6"/>
    <w:rsid w:val="71DD0837"/>
    <w:rsid w:val="71F93B97"/>
    <w:rsid w:val="72C51504"/>
    <w:rsid w:val="72D74A1B"/>
    <w:rsid w:val="73134824"/>
    <w:rsid w:val="74161F12"/>
    <w:rsid w:val="75386A21"/>
    <w:rsid w:val="757C3748"/>
    <w:rsid w:val="758A2FB1"/>
    <w:rsid w:val="75AE4323"/>
    <w:rsid w:val="75C568DB"/>
    <w:rsid w:val="766655B9"/>
    <w:rsid w:val="775B1DA3"/>
    <w:rsid w:val="77EC1D74"/>
    <w:rsid w:val="782D7F48"/>
    <w:rsid w:val="79607552"/>
    <w:rsid w:val="796A3022"/>
    <w:rsid w:val="79C90486"/>
    <w:rsid w:val="7A751C62"/>
    <w:rsid w:val="7BAB25DA"/>
    <w:rsid w:val="7CE75A0B"/>
    <w:rsid w:val="7DDA7DEF"/>
    <w:rsid w:val="7EFA11F1"/>
    <w:rsid w:val="7F0E0932"/>
    <w:rsid w:val="7F650A13"/>
    <w:rsid w:val="7FE82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5">
    <w:name w:val="Body Text"/>
    <w:basedOn w:val="1"/>
    <w:qFormat/>
    <w:uiPriority w:val="1"/>
    <w:rPr>
      <w:rFonts w:ascii="宋体" w:hAnsi="宋体" w:eastAsia="宋体" w:cs="宋体"/>
      <w:b/>
      <w:bCs/>
      <w:sz w:val="44"/>
      <w:szCs w:val="44"/>
      <w:lang w:val="zh-CN" w:eastAsia="zh-CN" w:bidi="zh-CN"/>
    </w:rPr>
  </w:style>
  <w:style w:type="paragraph" w:styleId="6">
    <w:name w:val="Body Text Indent 2"/>
    <w:basedOn w:val="1"/>
    <w:next w:val="1"/>
    <w:qFormat/>
    <w:uiPriority w:val="99"/>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3021</Words>
  <Characters>3164</Characters>
  <TotalTime>2</TotalTime>
  <ScaleCrop>false</ScaleCrop>
  <LinksUpToDate>false</LinksUpToDate>
  <CharactersWithSpaces>3187</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2020-07-30T01:50:00Z</dcterms:created>
  <dc:creator>狂奔的蚂蚁</dc:creator>
  <cp:lastModifiedBy>NTKO</cp:lastModifiedBy>
  <cp:lastPrinted>2021-10-29T10:51:00Z</cp:lastPrinted>
  <dcterms:modified xsi:type="dcterms:W3CDTF">2022-04-19T08:18:49Z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WPS 文字</vt:lpwstr>
  </property>
  <property fmtid="{D5CDD505-2E9C-101B-9397-08002B2CF9AE}" pid="4" name="LastSaved">
    <vt:filetime>2020-07-30T00:00:00Z</vt:filetime>
  </property>
  <property fmtid="{D5CDD505-2E9C-101B-9397-08002B2CF9AE}" pid="5" name="KSOProductBuildVer">
    <vt:lpwstr>2052-11.1.0.11220</vt:lpwstr>
  </property>
  <property fmtid="{D5CDD505-2E9C-101B-9397-08002B2CF9AE}" pid="6" name="ICV">
    <vt:lpwstr>AF22C7C0710545D48388F7AC6C1E2808</vt:lpwstr>
  </property>
</Properties>
</file>