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val="0"/>
        <w:autoSpaceDN w:val="0"/>
        <w:bidi w:val="0"/>
        <w:adjustRightInd/>
        <w:snapToGrid/>
        <w:spacing w:before="0" w:line="320" w:lineRule="auto"/>
        <w:ind w:left="220" w:leftChars="100" w:right="567" w:firstLine="0"/>
        <w:jc w:val="center"/>
        <w:textAlignment w:val="auto"/>
        <w:rPr>
          <w:rFonts w:hint="default"/>
          <w:spacing w:val="0"/>
          <w:sz w:val="36"/>
          <w:szCs w:val="36"/>
          <w:lang w:val="en-US"/>
        </w:rPr>
      </w:pPr>
      <w:r>
        <w:rPr>
          <w:rFonts w:hint="eastAsia" w:ascii="微软雅黑" w:eastAsia="微软雅黑"/>
          <w:spacing w:val="0"/>
          <w:sz w:val="32"/>
          <w:szCs w:val="32"/>
          <w:lang w:val="en-US" w:eastAsia="zh-CN"/>
        </w:rPr>
        <w:t>新兴县越王湖公园景观改造提升工程（二期）用户需求书</w:t>
      </w:r>
    </w:p>
    <w:p>
      <w:pPr>
        <w:spacing w:before="5" w:after="1" w:line="240" w:lineRule="auto"/>
        <w:rPr>
          <w:b/>
          <w:spacing w:val="0"/>
          <w:sz w:val="18"/>
        </w:rPr>
      </w:pPr>
    </w:p>
    <w:tbl>
      <w:tblPr>
        <w:tblStyle w:val="10"/>
        <w:tblW w:w="496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10"/>
        <w:gridCol w:w="623"/>
        <w:gridCol w:w="1697"/>
        <w:gridCol w:w="1599"/>
        <w:gridCol w:w="45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5000" w:type="pct"/>
            <w:gridSpan w:val="5"/>
          </w:tcPr>
          <w:p>
            <w:pPr>
              <w:pStyle w:val="15"/>
              <w:spacing w:before="97"/>
              <w:ind w:left="107"/>
              <w:rPr>
                <w:b/>
                <w:spacing w:val="0"/>
                <w:sz w:val="21"/>
              </w:rPr>
            </w:pPr>
            <w:r>
              <w:rPr>
                <w:b/>
                <w:spacing w:val="0"/>
                <w:sz w:val="24"/>
                <w:szCs w:val="24"/>
              </w:rPr>
              <w:t>一、基本资料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323" w:type="pct"/>
            <w:gridSpan w:val="2"/>
            <w:vAlign w:val="center"/>
          </w:tcPr>
          <w:p>
            <w:pPr>
              <w:pStyle w:val="15"/>
              <w:spacing w:before="99"/>
              <w:jc w:val="center"/>
              <w:rPr>
                <w:rFonts w:hint="eastAsia" w:ascii="宋体" w:hAnsi="宋体" w:eastAsia="宋体" w:cs="宋体"/>
                <w:spacing w:val="0"/>
                <w:sz w:val="24"/>
                <w:szCs w:val="24"/>
              </w:rPr>
            </w:pPr>
            <w:r>
              <w:rPr>
                <w:rFonts w:hint="eastAsia" w:ascii="宋体" w:hAnsi="宋体" w:eastAsia="宋体" w:cs="宋体"/>
                <w:spacing w:val="0"/>
                <w:sz w:val="24"/>
                <w:szCs w:val="24"/>
              </w:rPr>
              <w:t>单位名称（盖章）</w:t>
            </w:r>
          </w:p>
        </w:tc>
        <w:tc>
          <w:tcPr>
            <w:tcW w:w="3676" w:type="pct"/>
            <w:gridSpan w:val="3"/>
            <w:vAlign w:val="center"/>
          </w:tcPr>
          <w:p>
            <w:pPr>
              <w:pStyle w:val="15"/>
              <w:spacing w:before="99"/>
              <w:ind w:firstLine="240" w:firstLineChars="100"/>
              <w:jc w:val="both"/>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新兴县公园广场管理服务中心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1323" w:type="pct"/>
            <w:gridSpan w:val="2"/>
            <w:vAlign w:val="center"/>
          </w:tcPr>
          <w:p>
            <w:pPr>
              <w:pStyle w:val="15"/>
              <w:spacing w:before="98"/>
              <w:ind w:firstLine="480" w:firstLineChars="200"/>
              <w:jc w:val="left"/>
              <w:rPr>
                <w:rFonts w:hint="eastAsia" w:ascii="宋体" w:hAnsi="宋体" w:eastAsia="宋体" w:cs="宋体"/>
                <w:spacing w:val="0"/>
                <w:sz w:val="24"/>
                <w:szCs w:val="24"/>
              </w:rPr>
            </w:pPr>
            <w:r>
              <w:rPr>
                <w:rFonts w:hint="eastAsia" w:ascii="宋体" w:hAnsi="宋体" w:eastAsia="宋体" w:cs="宋体"/>
                <w:spacing w:val="0"/>
                <w:sz w:val="24"/>
                <w:szCs w:val="24"/>
              </w:rPr>
              <w:t>采购项目名称</w:t>
            </w:r>
          </w:p>
        </w:tc>
        <w:tc>
          <w:tcPr>
            <w:tcW w:w="3676" w:type="pct"/>
            <w:gridSpan w:val="3"/>
            <w:vAlign w:val="center"/>
          </w:tcPr>
          <w:p>
            <w:pPr>
              <w:pStyle w:val="5"/>
              <w:keepNext w:val="0"/>
              <w:keepLines w:val="0"/>
              <w:pageBreakBefore w:val="0"/>
              <w:widowControl w:val="0"/>
              <w:kinsoku/>
              <w:wordWrap/>
              <w:overflowPunct/>
              <w:topLinePunct w:val="0"/>
              <w:autoSpaceDE w:val="0"/>
              <w:autoSpaceDN w:val="0"/>
              <w:bidi w:val="0"/>
              <w:adjustRightInd/>
              <w:snapToGrid/>
              <w:spacing w:before="0" w:line="320" w:lineRule="auto"/>
              <w:ind w:left="44" w:leftChars="20" w:right="283" w:firstLine="240" w:firstLineChars="1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b w:val="0"/>
                <w:bCs w:val="0"/>
                <w:spacing w:val="0"/>
                <w:sz w:val="24"/>
                <w:szCs w:val="24"/>
                <w:lang w:val="en-US" w:eastAsia="zh-CN" w:bidi="zh-CN"/>
              </w:rPr>
              <w:t>新兴县越王湖公园景观改造提升工程（二期）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323" w:type="pct"/>
            <w:gridSpan w:val="2"/>
            <w:vAlign w:val="center"/>
          </w:tcPr>
          <w:p>
            <w:pPr>
              <w:pStyle w:val="15"/>
              <w:spacing w:before="98"/>
              <w:ind w:left="472"/>
              <w:jc w:val="left"/>
              <w:rPr>
                <w:rFonts w:hint="eastAsia" w:ascii="宋体" w:hAnsi="宋体" w:eastAsia="宋体" w:cs="宋体"/>
                <w:spacing w:val="0"/>
                <w:sz w:val="24"/>
                <w:szCs w:val="24"/>
              </w:rPr>
            </w:pPr>
            <w:r>
              <w:rPr>
                <w:rFonts w:hint="eastAsia" w:ascii="宋体" w:hAnsi="宋体" w:eastAsia="宋体" w:cs="宋体"/>
                <w:spacing w:val="0"/>
                <w:sz w:val="24"/>
                <w:szCs w:val="24"/>
              </w:rPr>
              <w:t>采购项目预算</w:t>
            </w:r>
          </w:p>
        </w:tc>
        <w:tc>
          <w:tcPr>
            <w:tcW w:w="3676" w:type="pct"/>
            <w:gridSpan w:val="3"/>
          </w:tcPr>
          <w:p>
            <w:pPr>
              <w:pStyle w:val="15"/>
              <w:tabs>
                <w:tab w:val="left" w:pos="703"/>
              </w:tabs>
              <w:spacing w:before="98"/>
              <w:ind w:firstLine="240" w:firstLineChars="100"/>
              <w:jc w:val="left"/>
              <w:rPr>
                <w:rFonts w:hint="eastAsia" w:ascii="宋体" w:hAnsi="宋体" w:eastAsia="宋体" w:cs="宋体"/>
                <w:spacing w:val="0"/>
                <w:sz w:val="24"/>
                <w:szCs w:val="24"/>
              </w:rPr>
            </w:pPr>
            <w:r>
              <w:rPr>
                <w:rFonts w:hint="eastAsia" w:cs="宋体"/>
                <w:spacing w:val="0"/>
                <w:sz w:val="24"/>
                <w:szCs w:val="24"/>
                <w:lang w:val="en-US" w:eastAsia="zh-CN"/>
              </w:rPr>
              <w:t>829407.56</w:t>
            </w:r>
            <w:r>
              <w:rPr>
                <w:rFonts w:hint="eastAsia" w:ascii="宋体" w:hAnsi="宋体" w:eastAsia="宋体" w:cs="宋体"/>
                <w:spacing w:val="0"/>
                <w:sz w:val="24"/>
                <w:szCs w:val="24"/>
                <w:lang w:val="en-US" w:eastAsia="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323" w:type="pct"/>
            <w:gridSpan w:val="2"/>
            <w:vAlign w:val="center"/>
          </w:tcPr>
          <w:p>
            <w:pPr>
              <w:pStyle w:val="15"/>
              <w:spacing w:before="98"/>
              <w:ind w:left="683"/>
              <w:jc w:val="left"/>
              <w:rPr>
                <w:rFonts w:hint="eastAsia" w:ascii="宋体" w:hAnsi="宋体" w:eastAsia="宋体" w:cs="宋体"/>
                <w:spacing w:val="0"/>
                <w:sz w:val="24"/>
                <w:szCs w:val="24"/>
              </w:rPr>
            </w:pPr>
            <w:r>
              <w:rPr>
                <w:rFonts w:hint="eastAsia" w:ascii="宋体" w:hAnsi="宋体" w:eastAsia="宋体" w:cs="宋体"/>
                <w:spacing w:val="0"/>
                <w:sz w:val="24"/>
                <w:szCs w:val="24"/>
              </w:rPr>
              <w:t>资金来源</w:t>
            </w:r>
          </w:p>
        </w:tc>
        <w:tc>
          <w:tcPr>
            <w:tcW w:w="3676" w:type="pct"/>
            <w:gridSpan w:val="3"/>
          </w:tcPr>
          <w:p>
            <w:pPr>
              <w:pStyle w:val="15"/>
              <w:tabs>
                <w:tab w:val="left" w:pos="3478"/>
                <w:tab w:val="left" w:pos="5161"/>
              </w:tabs>
              <w:spacing w:before="98"/>
              <w:ind w:left="106"/>
              <w:rPr>
                <w:rFonts w:hint="eastAsia" w:ascii="宋体" w:hAnsi="宋体" w:eastAsia="宋体" w:cs="宋体"/>
                <w:spacing w:val="0"/>
                <w:sz w:val="24"/>
                <w:szCs w:val="24"/>
              </w:rPr>
            </w:pPr>
            <w:r>
              <w:rPr>
                <w:rFonts w:hint="eastAsia" w:ascii="宋体" w:hAnsi="宋体" w:eastAsia="宋体" w:cs="宋体"/>
                <w:spacing w:val="0"/>
                <w:sz w:val="24"/>
                <w:szCs w:val="24"/>
              </w:rPr>
              <w:t>1、财政性资金（ √ ）</w:t>
            </w:r>
            <w:r>
              <w:rPr>
                <w:rFonts w:hint="eastAsia" w:ascii="宋体" w:hAnsi="宋体" w:eastAsia="宋体" w:cs="宋体"/>
                <w:spacing w:val="0"/>
                <w:sz w:val="24"/>
                <w:szCs w:val="24"/>
              </w:rPr>
              <w:tab/>
            </w:r>
            <w:r>
              <w:rPr>
                <w:rFonts w:hint="eastAsia" w:ascii="宋体" w:hAnsi="宋体" w:eastAsia="宋体" w:cs="宋体"/>
                <w:spacing w:val="0"/>
                <w:sz w:val="24"/>
                <w:szCs w:val="24"/>
              </w:rPr>
              <w:t>2、其他资金（</w:t>
            </w:r>
            <w:r>
              <w:rPr>
                <w:rFonts w:hint="eastAsia" w:ascii="宋体" w:hAnsi="宋体" w:eastAsia="宋体" w:cs="宋体"/>
                <w:spacing w:val="0"/>
                <w:sz w:val="24"/>
                <w:szCs w:val="24"/>
              </w:rPr>
              <w:tab/>
            </w:r>
            <w:r>
              <w:rPr>
                <w:rFonts w:hint="eastAsia" w:ascii="宋体" w:hAnsi="宋体" w:eastAsia="宋体" w:cs="宋体"/>
                <w:spacing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1323" w:type="pct"/>
            <w:gridSpan w:val="2"/>
            <w:vAlign w:val="center"/>
          </w:tcPr>
          <w:p>
            <w:pPr>
              <w:pStyle w:val="15"/>
              <w:spacing w:before="97"/>
              <w:ind w:left="768" w:right="760"/>
              <w:jc w:val="left"/>
              <w:rPr>
                <w:rFonts w:hint="eastAsia" w:ascii="宋体" w:hAnsi="宋体" w:eastAsia="宋体" w:cs="宋体"/>
                <w:spacing w:val="0"/>
                <w:sz w:val="24"/>
                <w:szCs w:val="24"/>
              </w:rPr>
            </w:pPr>
            <w:r>
              <w:rPr>
                <w:rFonts w:hint="eastAsia" w:ascii="宋体" w:hAnsi="宋体" w:eastAsia="宋体" w:cs="宋体"/>
                <w:spacing w:val="0"/>
                <w:sz w:val="24"/>
                <w:szCs w:val="24"/>
              </w:rPr>
              <w:t>联系人</w:t>
            </w:r>
          </w:p>
        </w:tc>
        <w:tc>
          <w:tcPr>
            <w:tcW w:w="1539" w:type="pct"/>
            <w:gridSpan w:val="2"/>
          </w:tcPr>
          <w:p>
            <w:pPr>
              <w:pStyle w:val="15"/>
              <w:keepNext w:val="0"/>
              <w:keepLines w:val="0"/>
              <w:pageBreakBefore w:val="0"/>
              <w:widowControl w:val="0"/>
              <w:kinsoku/>
              <w:wordWrap/>
              <w:overflowPunct/>
              <w:topLinePunct w:val="0"/>
              <w:autoSpaceDE w:val="0"/>
              <w:autoSpaceDN w:val="0"/>
              <w:bidi w:val="0"/>
              <w:adjustRightInd/>
              <w:snapToGrid/>
              <w:spacing w:before="97"/>
              <w:ind w:right="0"/>
              <w:jc w:val="center"/>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联系电话</w:t>
            </w:r>
          </w:p>
        </w:tc>
        <w:tc>
          <w:tcPr>
            <w:tcW w:w="2137" w:type="pct"/>
          </w:tcPr>
          <w:p>
            <w:pPr>
              <w:pStyle w:val="15"/>
              <w:spacing w:before="105"/>
              <w:ind w:left="899" w:right="888"/>
              <w:jc w:val="center"/>
              <w:rPr>
                <w:rFonts w:hint="eastAsia" w:ascii="宋体" w:hAnsi="宋体" w:eastAsia="宋体" w:cs="宋体"/>
                <w:spacing w:val="0"/>
                <w:sz w:val="24"/>
                <w:szCs w:val="24"/>
              </w:rPr>
            </w:pPr>
            <w:r>
              <w:rPr>
                <w:rFonts w:hint="eastAsia" w:ascii="宋体" w:hAnsi="宋体" w:eastAsia="宋体" w:cs="宋体"/>
                <w:spacing w:val="0"/>
                <w:sz w:val="24"/>
                <w:szCs w:val="24"/>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323" w:type="pct"/>
            <w:gridSpan w:val="2"/>
            <w:vAlign w:val="center"/>
          </w:tcPr>
          <w:p>
            <w:pPr>
              <w:pStyle w:val="15"/>
              <w:spacing w:before="97"/>
              <w:ind w:left="768" w:right="760"/>
              <w:jc w:val="center"/>
              <w:rPr>
                <w:rFonts w:hint="default" w:ascii="宋体" w:hAnsi="宋体" w:eastAsia="宋体" w:cs="宋体"/>
                <w:spacing w:val="0"/>
                <w:sz w:val="24"/>
                <w:szCs w:val="24"/>
                <w:lang w:val="en-US" w:eastAsia="zh-CN"/>
              </w:rPr>
            </w:pPr>
            <w:r>
              <w:rPr>
                <w:rFonts w:hint="eastAsia" w:cs="宋体"/>
                <w:spacing w:val="0"/>
                <w:sz w:val="24"/>
                <w:szCs w:val="24"/>
                <w:lang w:val="en-US" w:eastAsia="zh-CN"/>
              </w:rPr>
              <w:t>陈小姐</w:t>
            </w:r>
          </w:p>
        </w:tc>
        <w:tc>
          <w:tcPr>
            <w:tcW w:w="1539" w:type="pct"/>
            <w:gridSpan w:val="2"/>
            <w:vAlign w:val="center"/>
          </w:tcPr>
          <w:p>
            <w:pPr>
              <w:pStyle w:val="15"/>
              <w:spacing w:before="97"/>
              <w:ind w:left="773"/>
              <w:jc w:val="center"/>
              <w:rPr>
                <w:rFonts w:hint="default" w:ascii="宋体" w:hAnsi="宋体" w:eastAsia="宋体" w:cs="宋体"/>
                <w:spacing w:val="0"/>
                <w:sz w:val="24"/>
                <w:szCs w:val="24"/>
                <w:lang w:val="en-US" w:eastAsia="zh-CN"/>
              </w:rPr>
            </w:pPr>
            <w:r>
              <w:rPr>
                <w:rFonts w:hint="eastAsia" w:cs="宋体"/>
                <w:spacing w:val="0"/>
                <w:sz w:val="24"/>
                <w:szCs w:val="24"/>
                <w:lang w:val="en-US" w:eastAsia="zh-CN"/>
              </w:rPr>
              <w:t>15819530503</w:t>
            </w:r>
          </w:p>
        </w:tc>
        <w:tc>
          <w:tcPr>
            <w:tcW w:w="2137" w:type="pct"/>
            <w:vAlign w:val="center"/>
          </w:tcPr>
          <w:p>
            <w:pPr>
              <w:pStyle w:val="15"/>
              <w:spacing w:before="97"/>
              <w:ind w:right="889"/>
              <w:jc w:val="center"/>
              <w:rPr>
                <w:rFonts w:hint="eastAsia" w:ascii="宋体" w:hAnsi="宋体" w:eastAsia="宋体" w:cs="宋体"/>
                <w:spacing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1323" w:type="pct"/>
            <w:gridSpan w:val="2"/>
            <w:vAlign w:val="center"/>
          </w:tcPr>
          <w:p>
            <w:pPr>
              <w:pStyle w:val="15"/>
              <w:spacing w:before="20"/>
              <w:ind w:left="683"/>
              <w:jc w:val="left"/>
              <w:rPr>
                <w:rFonts w:hint="eastAsia" w:ascii="宋体" w:hAnsi="宋体" w:eastAsia="宋体" w:cs="宋体"/>
                <w:spacing w:val="0"/>
                <w:sz w:val="24"/>
                <w:szCs w:val="24"/>
              </w:rPr>
            </w:pPr>
            <w:r>
              <w:rPr>
                <w:rFonts w:hint="eastAsia" w:ascii="宋体" w:hAnsi="宋体" w:eastAsia="宋体" w:cs="宋体"/>
                <w:spacing w:val="0"/>
                <w:sz w:val="24"/>
                <w:szCs w:val="24"/>
              </w:rPr>
              <w:t>提供资料</w:t>
            </w:r>
          </w:p>
        </w:tc>
        <w:tc>
          <w:tcPr>
            <w:tcW w:w="3676" w:type="pct"/>
            <w:gridSpan w:val="3"/>
          </w:tcPr>
          <w:p>
            <w:pPr>
              <w:pStyle w:val="15"/>
              <w:tabs>
                <w:tab w:val="left" w:pos="1858"/>
              </w:tabs>
              <w:spacing w:before="20"/>
              <w:ind w:left="284"/>
              <w:jc w:val="center"/>
              <w:rPr>
                <w:rFonts w:hint="eastAsia" w:ascii="宋体" w:hAnsi="宋体" w:eastAsia="宋体" w:cs="宋体"/>
                <w:spacing w:val="0"/>
                <w:sz w:val="24"/>
                <w:szCs w:val="24"/>
              </w:rPr>
            </w:pPr>
            <w:r>
              <w:rPr>
                <w:rFonts w:hint="eastAsia" w:ascii="宋体" w:hAnsi="宋体" w:eastAsia="宋体" w:cs="宋体"/>
                <w:spacing w:val="0"/>
                <w:sz w:val="24"/>
                <w:szCs w:val="24"/>
              </w:rPr>
              <w:t>本需求书共</w:t>
            </w:r>
            <w:r>
              <w:rPr>
                <w:rFonts w:hint="eastAsia" w:ascii="宋体" w:hAnsi="宋体" w:eastAsia="宋体" w:cs="宋体"/>
                <w:spacing w:val="0"/>
                <w:sz w:val="24"/>
                <w:szCs w:val="24"/>
                <w:u w:val="single"/>
              </w:rPr>
              <w:t xml:space="preserve"> </w:t>
            </w:r>
            <w:r>
              <w:rPr>
                <w:rFonts w:hint="eastAsia" w:cs="宋体"/>
                <w:spacing w:val="0"/>
                <w:sz w:val="24"/>
                <w:szCs w:val="24"/>
                <w:u w:val="single"/>
                <w:lang w:val="en-US" w:eastAsia="zh-CN"/>
              </w:rPr>
              <w:t xml:space="preserve"> 4  </w:t>
            </w:r>
            <w:r>
              <w:rPr>
                <w:rFonts w:hint="eastAsia" w:ascii="宋体" w:hAnsi="宋体" w:eastAsia="宋体" w:cs="宋体"/>
                <w:spacing w:val="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5000" w:type="pct"/>
            <w:gridSpan w:val="5"/>
          </w:tcPr>
          <w:p>
            <w:pPr>
              <w:pStyle w:val="15"/>
              <w:spacing w:before="98"/>
              <w:ind w:left="107"/>
              <w:rPr>
                <w:b/>
                <w:spacing w:val="0"/>
                <w:sz w:val="21"/>
              </w:rPr>
            </w:pPr>
            <w:r>
              <w:rPr>
                <w:b/>
                <w:spacing w:val="0"/>
                <w:sz w:val="24"/>
                <w:szCs w:val="24"/>
              </w:rPr>
              <w:t>二、商务部分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031" w:type="pct"/>
          </w:tcPr>
          <w:p>
            <w:pPr>
              <w:pStyle w:val="15"/>
              <w:keepNext w:val="0"/>
              <w:keepLines w:val="0"/>
              <w:pageBreakBefore w:val="0"/>
              <w:widowControl w:val="0"/>
              <w:kinsoku/>
              <w:wordWrap/>
              <w:overflowPunct/>
              <w:topLinePunct w:val="0"/>
              <w:autoSpaceDE w:val="0"/>
              <w:autoSpaceDN w:val="0"/>
              <w:bidi w:val="0"/>
              <w:adjustRightInd/>
              <w:snapToGrid/>
              <w:spacing w:before="98"/>
              <w:ind w:right="0"/>
              <w:jc w:val="center"/>
              <w:textAlignment w:val="auto"/>
              <w:rPr>
                <w:spacing w:val="0"/>
                <w:sz w:val="24"/>
                <w:szCs w:val="24"/>
              </w:rPr>
            </w:pPr>
            <w:r>
              <w:rPr>
                <w:spacing w:val="0"/>
                <w:sz w:val="24"/>
                <w:szCs w:val="24"/>
              </w:rPr>
              <w:t>质保期</w:t>
            </w:r>
          </w:p>
        </w:tc>
        <w:tc>
          <w:tcPr>
            <w:tcW w:w="1083" w:type="pct"/>
            <w:gridSpan w:val="2"/>
          </w:tcPr>
          <w:p>
            <w:pPr>
              <w:pStyle w:val="15"/>
              <w:spacing w:before="98"/>
              <w:ind w:left="604"/>
              <w:jc w:val="left"/>
              <w:rPr>
                <w:spacing w:val="0"/>
                <w:sz w:val="24"/>
                <w:szCs w:val="24"/>
              </w:rPr>
            </w:pPr>
            <w:r>
              <w:rPr>
                <w:spacing w:val="0"/>
                <w:sz w:val="24"/>
                <w:szCs w:val="24"/>
              </w:rPr>
              <w:t>保修期</w:t>
            </w:r>
          </w:p>
        </w:tc>
        <w:tc>
          <w:tcPr>
            <w:tcW w:w="2884" w:type="pct"/>
            <w:gridSpan w:val="2"/>
            <w:vAlign w:val="center"/>
          </w:tcPr>
          <w:p>
            <w:pPr>
              <w:pStyle w:val="15"/>
              <w:spacing w:before="98"/>
              <w:jc w:val="center"/>
              <w:rPr>
                <w:spacing w:val="0"/>
                <w:sz w:val="24"/>
                <w:szCs w:val="24"/>
              </w:rPr>
            </w:pPr>
            <w:r>
              <w:rPr>
                <w:spacing w:val="0"/>
                <w:sz w:val="24"/>
                <w:szCs w:val="24"/>
              </w:rPr>
              <w:t>项目完成时间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1031" w:type="pct"/>
          </w:tcPr>
          <w:p>
            <w:pPr>
              <w:pStyle w:val="15"/>
              <w:spacing w:before="105"/>
              <w:ind w:left="11"/>
              <w:jc w:val="center"/>
              <w:rPr>
                <w:rFonts w:hint="default" w:ascii="Calibri" w:eastAsia="宋体"/>
                <w:spacing w:val="0"/>
                <w:sz w:val="24"/>
                <w:szCs w:val="24"/>
                <w:highlight w:val="red"/>
                <w:lang w:val="en-US" w:eastAsia="zh-CN"/>
              </w:rPr>
            </w:pPr>
            <w:r>
              <w:rPr>
                <w:rFonts w:hint="eastAsia" w:ascii="Calibri"/>
                <w:spacing w:val="0"/>
                <w:sz w:val="24"/>
                <w:szCs w:val="24"/>
                <w:highlight w:val="none"/>
                <w:lang w:val="en-US" w:eastAsia="zh-CN"/>
              </w:rPr>
              <w:t>/</w:t>
            </w:r>
          </w:p>
        </w:tc>
        <w:tc>
          <w:tcPr>
            <w:tcW w:w="1083" w:type="pct"/>
            <w:gridSpan w:val="2"/>
          </w:tcPr>
          <w:p>
            <w:pPr>
              <w:pStyle w:val="15"/>
              <w:keepNext w:val="0"/>
              <w:keepLines w:val="0"/>
              <w:pageBreakBefore w:val="0"/>
              <w:widowControl w:val="0"/>
              <w:kinsoku/>
              <w:wordWrap/>
              <w:overflowPunct/>
              <w:topLinePunct w:val="0"/>
              <w:autoSpaceDE w:val="0"/>
              <w:autoSpaceDN w:val="0"/>
              <w:bidi w:val="0"/>
              <w:adjustRightInd/>
              <w:snapToGrid/>
              <w:spacing w:before="98"/>
              <w:ind w:left="0" w:right="0"/>
              <w:jc w:val="center"/>
              <w:textAlignment w:val="auto"/>
              <w:rPr>
                <w:rFonts w:hint="default" w:eastAsia="宋体"/>
                <w:spacing w:val="0"/>
                <w:sz w:val="24"/>
                <w:szCs w:val="24"/>
                <w:highlight w:val="red"/>
                <w:lang w:val="en-US" w:eastAsia="zh-CN"/>
              </w:rPr>
            </w:pPr>
            <w:r>
              <w:rPr>
                <w:rFonts w:hint="eastAsia"/>
                <w:spacing w:val="0"/>
                <w:sz w:val="24"/>
                <w:szCs w:val="24"/>
                <w:highlight w:val="none"/>
                <w:lang w:val="en-US" w:eastAsia="zh-CN"/>
              </w:rPr>
              <w:t>1年</w:t>
            </w:r>
          </w:p>
        </w:tc>
        <w:tc>
          <w:tcPr>
            <w:tcW w:w="2884" w:type="pct"/>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before="98"/>
              <w:ind w:left="22" w:leftChars="10"/>
              <w:jc w:val="center"/>
              <w:textAlignment w:val="auto"/>
              <w:rPr>
                <w:rFonts w:hint="eastAsia" w:eastAsia="宋体"/>
                <w:spacing w:val="0"/>
                <w:sz w:val="24"/>
                <w:szCs w:val="24"/>
                <w:lang w:eastAsia="zh-CN"/>
              </w:rPr>
            </w:pPr>
            <w:r>
              <w:rPr>
                <w:rFonts w:hint="eastAsia"/>
                <w:spacing w:val="0"/>
                <w:sz w:val="24"/>
                <w:szCs w:val="24"/>
                <w:lang w:val="en-US" w:eastAsia="zh-CN"/>
              </w:rPr>
              <w:t>自合同生效之日起 60 个日历天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5000" w:type="pct"/>
            <w:gridSpan w:val="5"/>
          </w:tcPr>
          <w:p>
            <w:pPr>
              <w:pStyle w:val="15"/>
              <w:spacing w:before="97"/>
              <w:ind w:left="3248" w:right="3243"/>
              <w:jc w:val="center"/>
              <w:rPr>
                <w:spacing w:val="0"/>
                <w:sz w:val="21"/>
              </w:rPr>
            </w:pPr>
            <w:r>
              <w:rPr>
                <w:rFonts w:hint="eastAsia"/>
                <w:b/>
                <w:bCs/>
                <w:spacing w:val="0"/>
                <w:sz w:val="24"/>
                <w:szCs w:val="24"/>
                <w:lang w:val="en-US" w:eastAsia="zh-CN"/>
              </w:rPr>
              <w:t>（一）响应</w:t>
            </w:r>
            <w:r>
              <w:rPr>
                <w:b/>
                <w:bCs/>
                <w:spacing w:val="0"/>
                <w:sz w:val="24"/>
                <w:szCs w:val="24"/>
              </w:rPr>
              <w:t>供应商资</w:t>
            </w:r>
            <w:r>
              <w:rPr>
                <w:rFonts w:hint="eastAsia"/>
                <w:b/>
                <w:bCs/>
                <w:spacing w:val="0"/>
                <w:sz w:val="24"/>
                <w:szCs w:val="24"/>
                <w:lang w:val="en-US" w:eastAsia="zh-CN"/>
              </w:rPr>
              <w:t>格</w:t>
            </w:r>
            <w:r>
              <w:rPr>
                <w:b/>
                <w:bCs/>
                <w:spacing w:val="0"/>
                <w:sz w:val="24"/>
                <w:szCs w:val="24"/>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000" w:type="pct"/>
            <w:gridSpan w:val="5"/>
            <w:tcBorders>
              <w:bottom w:val="single" w:color="auto" w:sz="4" w:space="0"/>
            </w:tcBorders>
          </w:tcPr>
          <w:p>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rPr>
            </w:pPr>
            <w:r>
              <w:rPr>
                <w:rFonts w:hint="eastAsia"/>
                <w:lang w:val="en-US" w:eastAsia="zh-CN"/>
              </w:rPr>
              <w:t>响应</w:t>
            </w:r>
            <w:r>
              <w:rPr>
                <w:rFonts w:hint="eastAsia"/>
              </w:rPr>
              <w:t>供应商应具备《</w:t>
            </w:r>
            <w:r>
              <w:rPr>
                <w:rFonts w:hint="eastAsia"/>
                <w:lang w:val="en-US" w:eastAsia="zh-CN"/>
              </w:rPr>
              <w:t>中华人民共和国</w:t>
            </w:r>
            <w:r>
              <w:rPr>
                <w:rFonts w:hint="eastAsia"/>
              </w:rPr>
              <w:t>政府采购法</w:t>
            </w:r>
            <w:bookmarkStart w:id="0" w:name="_GoBack"/>
            <w:bookmarkEnd w:id="0"/>
            <w:r>
              <w:rPr>
                <w:rFonts w:hint="eastAsia"/>
              </w:rPr>
              <w:t>》第二十二条规定的条件，提供下列材料：</w:t>
            </w:r>
          </w:p>
          <w:p>
            <w:pPr>
              <w:pStyle w:val="9"/>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rPr>
            </w:pPr>
            <w:r>
              <w:rPr>
                <w:rFonts w:hint="eastAsia"/>
              </w:rPr>
              <w:t>具有独立承担民事责任的能力；</w:t>
            </w:r>
          </w:p>
          <w:p>
            <w:pPr>
              <w:keepNext w:val="0"/>
              <w:keepLines w:val="0"/>
              <w:pageBreakBefore w:val="0"/>
              <w:widowControl/>
              <w:numPr>
                <w:ilvl w:val="0"/>
                <w:numId w:val="2"/>
              </w:numPr>
              <w:suppressLineNumbers w:val="0"/>
              <w:kinsoku/>
              <w:wordWrap/>
              <w:overflowPunct/>
              <w:topLinePunct w:val="0"/>
              <w:autoSpaceDE w:val="0"/>
              <w:autoSpaceDN w:val="0"/>
              <w:bidi w:val="0"/>
              <w:adjustRightInd/>
              <w:snapToGrid/>
              <w:spacing w:line="360" w:lineRule="auto"/>
              <w:ind w:left="709" w:leftChars="0" w:right="110" w:rightChars="50" w:hanging="425" w:firstLineChars="0"/>
              <w:jc w:val="left"/>
              <w:textAlignment w:val="auto"/>
              <w:rPr>
                <w:rFonts w:hint="eastAsia" w:ascii="宋体" w:hAnsi="宋体" w:eastAsia="宋体" w:cs="宋体"/>
                <w:kern w:val="0"/>
                <w:sz w:val="24"/>
                <w:szCs w:val="22"/>
                <w:lang w:val="en-US" w:eastAsia="zh-CN" w:bidi="ar"/>
              </w:rPr>
            </w:pPr>
            <w:r>
              <w:rPr>
                <w:rFonts w:hint="eastAsia" w:ascii="宋体" w:hAnsi="宋体" w:eastAsia="宋体" w:cs="宋体"/>
                <w:kern w:val="0"/>
                <w:sz w:val="24"/>
                <w:szCs w:val="22"/>
                <w:lang w:val="en-US" w:eastAsia="zh-CN" w:bidi="ar"/>
              </w:rPr>
              <w:t>具有良好的商业信誉和健全的财务会计制度；</w:t>
            </w:r>
          </w:p>
          <w:p>
            <w:pPr>
              <w:pStyle w:val="6"/>
              <w:keepNext w:val="0"/>
              <w:keepLines w:val="0"/>
              <w:pageBreakBefore w:val="0"/>
              <w:numPr>
                <w:ilvl w:val="0"/>
                <w:numId w:val="2"/>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具有履行合同所必需的设备和专业技术能力</w:t>
            </w:r>
            <w:r>
              <w:rPr>
                <w:rFonts w:hint="eastAsia"/>
              </w:rPr>
              <w:t>；</w:t>
            </w:r>
          </w:p>
          <w:p>
            <w:pPr>
              <w:keepNext w:val="0"/>
              <w:keepLines w:val="0"/>
              <w:pageBreakBefore w:val="0"/>
              <w:widowControl/>
              <w:numPr>
                <w:ilvl w:val="0"/>
                <w:numId w:val="2"/>
              </w:numPr>
              <w:suppressLineNumbers w:val="0"/>
              <w:kinsoku/>
              <w:wordWrap/>
              <w:overflowPunct/>
              <w:topLinePunct w:val="0"/>
              <w:autoSpaceDE w:val="0"/>
              <w:autoSpaceDN w:val="0"/>
              <w:bidi w:val="0"/>
              <w:adjustRightInd/>
              <w:snapToGrid/>
              <w:spacing w:line="360" w:lineRule="auto"/>
              <w:ind w:left="709" w:leftChars="0" w:right="110" w:rightChars="50" w:hanging="425" w:firstLineChars="0"/>
              <w:jc w:val="left"/>
              <w:textAlignment w:val="auto"/>
              <w:rPr>
                <w:rFonts w:hint="eastAsia" w:ascii="宋体" w:hAnsi="宋体" w:eastAsia="宋体" w:cs="宋体"/>
                <w:kern w:val="0"/>
                <w:sz w:val="24"/>
                <w:szCs w:val="22"/>
                <w:lang w:val="en-US" w:eastAsia="zh-CN" w:bidi="ar"/>
              </w:rPr>
            </w:pPr>
            <w:r>
              <w:rPr>
                <w:rFonts w:hint="eastAsia" w:ascii="宋体" w:hAnsi="宋体" w:eastAsia="宋体" w:cs="宋体"/>
                <w:kern w:val="0"/>
                <w:sz w:val="24"/>
                <w:szCs w:val="22"/>
                <w:lang w:val="en-US" w:eastAsia="zh-CN" w:bidi="ar"/>
              </w:rPr>
              <w:t>有依法缴纳税收证明和社会保障资金的良好记录；</w:t>
            </w:r>
          </w:p>
          <w:p>
            <w:pPr>
              <w:pStyle w:val="9"/>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rPr>
            </w:pPr>
            <w:r>
              <w:rPr>
                <w:rFonts w:hint="eastAsia"/>
              </w:rPr>
              <w:t>参加采购活动前3年内，在经营活动中没有重大违法记录；</w:t>
            </w:r>
          </w:p>
          <w:p>
            <w:pPr>
              <w:pStyle w:val="9"/>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pPr>
            <w:r>
              <w:rPr>
                <w:rFonts w:hint="eastAsia"/>
              </w:rPr>
              <w:t>供应商必须符合法律、行政法规规定的其他条件</w:t>
            </w:r>
            <w:r>
              <w:rPr>
                <w:rFonts w:hint="eastAsia"/>
                <w:lang w:eastAsia="zh-CN"/>
              </w:rPr>
              <w:t>。</w:t>
            </w:r>
          </w:p>
          <w:p>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宋体" w:hAnsi="宋体" w:eastAsia="宋体" w:cs="宋体"/>
                <w:lang w:val="en-US" w:eastAsia="zh-CN"/>
              </w:rPr>
            </w:pPr>
            <w:r>
              <w:rPr>
                <w:rFonts w:hint="eastAsia" w:ascii="宋体" w:hAnsi="宋体" w:eastAsia="宋体" w:cs="宋体"/>
                <w:lang w:val="en-US" w:eastAsia="zh-CN"/>
              </w:rPr>
              <w:t>供应商特定资格要求：</w:t>
            </w:r>
          </w:p>
          <w:p>
            <w:pPr>
              <w:pStyle w:val="9"/>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default" w:ascii="宋体" w:hAnsi="宋体" w:eastAsia="宋体" w:cs="宋体"/>
                <w:lang w:val="en-US" w:eastAsia="zh-CN"/>
              </w:rPr>
            </w:pPr>
            <w:r>
              <w:rPr>
                <w:rFonts w:hint="eastAsia" w:ascii="宋体" w:hAnsi="宋体" w:eastAsia="宋体" w:cs="宋体"/>
                <w:lang w:val="en-US" w:eastAsia="zh-CN"/>
              </w:rPr>
              <w:t>本项目为专门面向中小企业采购的采购项目。【提供中小企业声明函】</w:t>
            </w:r>
          </w:p>
          <w:p>
            <w:pPr>
              <w:pStyle w:val="9"/>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宋体" w:hAnsi="宋体" w:eastAsia="宋体" w:cs="宋体"/>
                <w:lang w:val="en-US" w:eastAsia="zh-CN"/>
              </w:rPr>
            </w:pPr>
            <w:r>
              <w:rPr>
                <w:rFonts w:hint="eastAsia" w:ascii="宋体" w:hAnsi="宋体" w:eastAsia="宋体" w:cs="宋体"/>
                <w:lang w:val="en-US" w:eastAsia="zh-CN"/>
              </w:rPr>
              <w:t>供应商须具有有效的建设行政主管部门颁发市政公用工程施工总承包叁级或以上资质；</w:t>
            </w:r>
          </w:p>
          <w:p>
            <w:pPr>
              <w:pStyle w:val="9"/>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宋体" w:hAnsi="宋体" w:eastAsia="宋体" w:cs="宋体"/>
                <w:lang w:val="en-US" w:eastAsia="zh-CN"/>
              </w:rPr>
            </w:pPr>
            <w:r>
              <w:rPr>
                <w:rFonts w:hint="eastAsia" w:ascii="宋体" w:hAnsi="宋体" w:eastAsia="宋体" w:cs="宋体"/>
                <w:lang w:val="en-US" w:eastAsia="zh-CN"/>
              </w:rPr>
              <w:t>响应供应商须具备建设行政主管部门核发的安全生产许可证（有效期内）；</w:t>
            </w:r>
          </w:p>
          <w:p>
            <w:pPr>
              <w:pStyle w:val="9"/>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宋体" w:hAnsi="宋体" w:eastAsia="宋体" w:cs="宋体"/>
                <w:lang w:val="en-US" w:eastAsia="zh-CN"/>
              </w:rPr>
            </w:pPr>
            <w:r>
              <w:rPr>
                <w:rFonts w:hint="eastAsia" w:ascii="宋体" w:hAnsi="宋体" w:eastAsia="宋体" w:cs="宋体"/>
                <w:lang w:val="en-US" w:eastAsia="zh-CN"/>
              </w:rPr>
              <w:t>响应供应商未被列入“信用中国”网站(www.creditchina.gov.cn)“记录失信被执行人、重大税收违法案件当事人名单及政府采购严重违法失信行为”记录名单；不处于中国政府采购网(www.ccgp.gov.cn)“政府采购严重违法失信行为信息记录”中的禁止参加政府采购活动期间。（如相关失信记录已失效，需提供相关证明资料）</w:t>
            </w:r>
          </w:p>
          <w:p>
            <w:pPr>
              <w:pStyle w:val="9"/>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宋体" w:hAnsi="宋体" w:eastAsia="宋体" w:cs="宋体"/>
                <w:lang w:val="en-US" w:eastAsia="zh-CN"/>
              </w:rPr>
            </w:pPr>
            <w:r>
              <w:rPr>
                <w:rFonts w:hint="eastAsia" w:ascii="宋体" w:hAnsi="宋体" w:eastAsia="宋体" w:cs="宋体"/>
                <w:lang w:val="en-US" w:eastAsia="zh-CN"/>
              </w:rPr>
              <w:t>为采购项目提供整体设计、规范编制或者项目管理、监理、检测等服务的供应商，不得再参加该采购项目的其他采购活动；</w:t>
            </w:r>
          </w:p>
          <w:p>
            <w:pPr>
              <w:pStyle w:val="9"/>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宋体" w:hAnsi="宋体" w:eastAsia="宋体" w:cs="宋体"/>
                <w:lang w:val="en-US" w:eastAsia="zh-CN"/>
              </w:rPr>
            </w:pPr>
            <w:r>
              <w:rPr>
                <w:rFonts w:hint="eastAsia" w:ascii="宋体" w:hAnsi="宋体" w:eastAsia="宋体" w:cs="宋体"/>
                <w:lang w:val="en-US" w:eastAsia="zh-CN"/>
              </w:rPr>
              <w:t>本项目不接受联合体投标，不允许分包和转包；</w:t>
            </w:r>
          </w:p>
          <w:p>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pPr>
            <w:r>
              <w:rPr>
                <w:rFonts w:hint="eastAsia" w:ascii="宋体" w:hAnsi="宋体" w:eastAsia="宋体" w:cs="宋体"/>
                <w:lang w:val="en-US" w:eastAsia="zh-CN"/>
              </w:rPr>
              <w:t>（注：对供应商的资格审查以谈判小组的评审结论为准。）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5000" w:type="pct"/>
            <w:gridSpan w:val="5"/>
            <w:tcBorders>
              <w:bottom w:val="single" w:color="auto" w:sz="4" w:space="0"/>
            </w:tcBorders>
            <w:vAlign w:val="center"/>
          </w:tcPr>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110" w:rightChars="50"/>
              <w:jc w:val="center"/>
              <w:textAlignment w:val="auto"/>
              <w:rPr>
                <w:rFonts w:hint="default" w:ascii="宋体" w:hAnsi="宋体" w:eastAsia="宋体" w:cs="宋体"/>
                <w:spacing w:val="0"/>
                <w:kern w:val="0"/>
                <w:sz w:val="24"/>
                <w:szCs w:val="24"/>
                <w:lang w:val="en-US" w:eastAsia="zh-CN" w:bidi="zh-CN"/>
              </w:rPr>
            </w:pPr>
            <w:r>
              <w:rPr>
                <w:rFonts w:hint="eastAsia" w:cs="宋体"/>
                <w:b/>
                <w:bCs/>
                <w:spacing w:val="0"/>
                <w:kern w:val="0"/>
                <w:sz w:val="24"/>
                <w:szCs w:val="24"/>
                <w:lang w:val="en-US" w:eastAsia="zh-CN" w:bidi="zh-CN"/>
              </w:rPr>
              <w:t>（二）</w:t>
            </w:r>
            <w:r>
              <w:rPr>
                <w:rFonts w:hint="eastAsia" w:ascii="宋体" w:hAnsi="宋体" w:eastAsia="宋体" w:cs="宋体"/>
                <w:b/>
                <w:bCs/>
                <w:spacing w:val="0"/>
                <w:kern w:val="0"/>
                <w:sz w:val="24"/>
                <w:szCs w:val="24"/>
                <w:lang w:val="en-US" w:eastAsia="zh-CN" w:bidi="zh-CN"/>
              </w:rPr>
              <w:t>承包方式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1" w:hRule="atLeast"/>
          <w:jc w:val="center"/>
        </w:trPr>
        <w:tc>
          <w:tcPr>
            <w:tcW w:w="5000" w:type="pct"/>
            <w:gridSpan w:val="5"/>
            <w:tcBorders>
              <w:bottom w:val="single" w:color="auto" w:sz="4" w:space="0"/>
            </w:tcBorders>
            <w:vAlign w:val="top"/>
          </w:tcPr>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284" w:leftChars="0" w:right="110" w:rightChars="50" w:firstLine="480" w:firstLineChars="20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根据采购人提供的图纸和工程量清单等相关资料为依据，由成交人包材料、包施工、包质量、包工期、包安全进行，招标图纸和工程量清单不符时，以招标图纸为准。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5000" w:type="pct"/>
            <w:gridSpan w:val="5"/>
            <w:tcBorders>
              <w:bottom w:val="single" w:color="auto" w:sz="4" w:space="0"/>
            </w:tcBorders>
            <w:vAlign w:val="center"/>
          </w:tcPr>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110" w:rightChars="50"/>
              <w:jc w:val="center"/>
              <w:textAlignment w:val="auto"/>
              <w:rPr>
                <w:rFonts w:hint="eastAsia" w:ascii="宋体" w:hAnsi="宋体" w:eastAsia="宋体" w:cs="宋体"/>
                <w:spacing w:val="0"/>
                <w:kern w:val="0"/>
                <w:sz w:val="24"/>
                <w:szCs w:val="24"/>
                <w:lang w:val="en-US" w:eastAsia="zh-CN" w:bidi="zh-CN"/>
              </w:rPr>
            </w:pPr>
            <w:r>
              <w:rPr>
                <w:rFonts w:hint="eastAsia" w:cs="宋体"/>
                <w:b/>
                <w:bCs/>
                <w:spacing w:val="0"/>
                <w:sz w:val="24"/>
                <w:szCs w:val="24"/>
                <w:lang w:val="en-US" w:eastAsia="zh-CN" w:bidi="zh-CN"/>
              </w:rPr>
              <w:t>（三）质量要求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0" w:hRule="atLeast"/>
          <w:jc w:val="center"/>
        </w:trPr>
        <w:tc>
          <w:tcPr>
            <w:tcW w:w="5000" w:type="pct"/>
            <w:gridSpan w:val="5"/>
            <w:tcBorders>
              <w:bottom w:val="single" w:color="auto" w:sz="4" w:space="0"/>
            </w:tcBorders>
            <w:vAlign w:val="top"/>
          </w:tcPr>
          <w:p>
            <w:pPr>
              <w:pStyle w:val="9"/>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284" w:leftChars="0" w:right="110" w:rightChars="5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成交人须严格按照国家、地方和行业现行施工验收规范、标准及采购人提供的技术资料要求进行施工。</w:t>
            </w:r>
          </w:p>
          <w:p>
            <w:pPr>
              <w:pStyle w:val="9"/>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284" w:leftChars="0" w:right="110" w:rightChars="5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图纸和文本文件必须做到清晰、完整，尺寸齐全、准确，度量采用国际通用的公制度量标准。</w:t>
            </w:r>
          </w:p>
          <w:p>
            <w:pPr>
              <w:pStyle w:val="9"/>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284" w:leftChars="0" w:right="110" w:rightChars="5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各施工段要协调到位，施工队伍须具备机械化施工设备和能力，实行事故责任追究制度，严把工程质量关，确保工程质量和进度。</w:t>
            </w:r>
          </w:p>
          <w:p>
            <w:pPr>
              <w:pStyle w:val="9"/>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284" w:leftChars="0" w:right="110" w:rightChars="5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本项目所用材料由成交人负责采购运输，必须有产品合格证明，严禁使用不合格产品。所用材料均要符合国家规定的相应的环保标准，无毒、无害、无污染，对使用不合格材料造成的经济损失由成交人自行承担。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5000" w:type="pct"/>
            <w:gridSpan w:val="5"/>
            <w:tcBorders>
              <w:bottom w:val="single" w:color="auto" w:sz="4" w:space="0"/>
            </w:tcBorders>
            <w:vAlign w:val="center"/>
          </w:tcPr>
          <w:p>
            <w:pPr>
              <w:pStyle w:val="8"/>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200" w:right="0" w:rightChars="0"/>
              <w:jc w:val="center"/>
              <w:textAlignment w:val="auto"/>
              <w:rPr>
                <w:rFonts w:hint="eastAsia" w:ascii="宋体" w:hAnsi="宋体" w:eastAsia="宋体" w:cs="宋体"/>
                <w:b/>
                <w:bCs/>
                <w:spacing w:val="0"/>
                <w:kern w:val="0"/>
                <w:sz w:val="24"/>
                <w:szCs w:val="24"/>
                <w:lang w:val="en-US" w:eastAsia="zh-CN" w:bidi="zh-CN"/>
              </w:rPr>
            </w:pPr>
            <w:r>
              <w:rPr>
                <w:rFonts w:hint="eastAsia" w:cs="宋体"/>
                <w:b/>
                <w:bCs/>
                <w:spacing w:val="0"/>
                <w:kern w:val="0"/>
                <w:sz w:val="24"/>
                <w:szCs w:val="24"/>
                <w:lang w:val="en-US" w:eastAsia="zh-CN" w:bidi="zh-CN"/>
              </w:rPr>
              <w:t>（四）</w:t>
            </w:r>
            <w:r>
              <w:rPr>
                <w:rFonts w:hint="eastAsia" w:cs="宋体"/>
                <w:b/>
                <w:bCs/>
                <w:spacing w:val="0"/>
                <w:sz w:val="24"/>
                <w:szCs w:val="24"/>
                <w:lang w:val="en-US" w:eastAsia="zh-CN" w:bidi="zh-CN"/>
              </w:rPr>
              <w:t>实施条件及管理要求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9" w:hRule="atLeast"/>
          <w:jc w:val="center"/>
        </w:trPr>
        <w:tc>
          <w:tcPr>
            <w:tcW w:w="5000" w:type="pct"/>
            <w:gridSpan w:val="5"/>
            <w:tcBorders>
              <w:bottom w:val="single" w:color="auto" w:sz="4" w:space="0"/>
            </w:tcBorders>
            <w:vAlign w:val="top"/>
          </w:tcPr>
          <w:p>
            <w:pPr>
              <w:pStyle w:val="9"/>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leftChars="0" w:right="110" w:rightChars="50" w:firstLine="218" w:firstLineChars="91"/>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本项目中：供应商须负责整个项目所有的施工任务，包括材料设备的采购、施工、保护及保修，不论是永久性质的或是临时性质的。</w:t>
            </w:r>
          </w:p>
          <w:p>
            <w:pPr>
              <w:pStyle w:val="9"/>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leftChars="0" w:right="110" w:rightChars="50" w:firstLine="218" w:firstLineChars="91"/>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由于施工场地特殊，采购人不提供施工所需的临时食宿、办公、材料加工场地，均由成交人自行解决，其费用由成交人自理。</w:t>
            </w:r>
          </w:p>
          <w:p>
            <w:pPr>
              <w:pStyle w:val="9"/>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leftChars="0" w:right="110" w:rightChars="50" w:firstLine="218" w:firstLineChars="91"/>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成交人自行解决施工临时用水、用电、通讯设施，相关费用已包含在响应报价内。</w:t>
            </w:r>
          </w:p>
          <w:p>
            <w:pPr>
              <w:pStyle w:val="9"/>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leftChars="0" w:right="110" w:rightChars="50" w:firstLine="218" w:firstLineChars="91"/>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成交人应确保施工现场的清洁卫生，建筑垃圾须当日清理干净，不得留在现场过夜；成交人在施工组织设计中必须有专项干扰噪声及环保措施、安全文明措施，必须符合云浮市安全文明工地标准。</w:t>
            </w:r>
          </w:p>
          <w:p>
            <w:pPr>
              <w:pStyle w:val="9"/>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leftChars="0" w:right="110" w:rightChars="50" w:firstLine="218" w:firstLineChars="91"/>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成交人在施工时须对施工场地内的其它设备、设施有良好的保护措施。</w:t>
            </w:r>
          </w:p>
          <w:p>
            <w:pPr>
              <w:pStyle w:val="9"/>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leftChars="0" w:right="110" w:rightChars="50" w:firstLine="218" w:firstLineChars="91"/>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成交人一旦进场施工，须严格遵守采购人的各项规章制度，包括但不限于：</w:t>
            </w:r>
          </w:p>
          <w:p>
            <w:pPr>
              <w:pStyle w:val="9"/>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leftChars="0" w:right="110" w:rightChars="50" w:firstLine="218" w:firstLineChars="91"/>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在规定的地域施工和活动；</w:t>
            </w:r>
          </w:p>
          <w:p>
            <w:pPr>
              <w:pStyle w:val="9"/>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leftChars="0" w:right="110" w:rightChars="50" w:firstLine="218" w:firstLineChars="91"/>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项目经理和管理人员须坚守岗位，因事需离开施工现场的，须提前向采购人请假，经采购人同意方可离开。</w:t>
            </w:r>
          </w:p>
          <w:p>
            <w:pPr>
              <w:pStyle w:val="9"/>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leftChars="0" w:right="110" w:rightChars="50" w:firstLine="218" w:firstLineChars="91"/>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在施工期间应严格遵守国家、省、市有关防火、防爆破、施工安全以及文明施工、深夜施工、环卫等规定，建立规章制度和防护措施。施工期间须严格管理施工人员，保护好已完工工程成品，否则，由此造成的损失或被有关部门处罚，均由成交人负责。成交人须严格加强管理，如发生盗窃、斗殴等现象，根据情节轻重，追究当事人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5000" w:type="pct"/>
            <w:gridSpan w:val="5"/>
            <w:tcBorders>
              <w:bottom w:val="single" w:color="auto" w:sz="4" w:space="0"/>
            </w:tcBorders>
          </w:tcPr>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284" w:leftChars="0" w:right="110" w:rightChars="50"/>
              <w:jc w:val="center"/>
              <w:textAlignment w:val="auto"/>
              <w:rPr>
                <w:rFonts w:hint="default" w:ascii="宋体" w:hAnsi="宋体" w:eastAsia="宋体" w:cs="宋体"/>
                <w:spacing w:val="0"/>
                <w:kern w:val="0"/>
                <w:sz w:val="24"/>
                <w:szCs w:val="24"/>
                <w:lang w:val="en-US" w:eastAsia="zh-CN" w:bidi="zh-CN"/>
              </w:rPr>
            </w:pPr>
            <w:r>
              <w:rPr>
                <w:rFonts w:hint="eastAsia" w:cs="宋体"/>
                <w:b/>
                <w:bCs/>
                <w:spacing w:val="0"/>
                <w:kern w:val="0"/>
                <w:sz w:val="24"/>
                <w:szCs w:val="24"/>
                <w:lang w:val="en-US" w:eastAsia="zh-CN" w:bidi="zh-CN"/>
              </w:rPr>
              <w:t>（五）安全文明施工措施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0" w:hRule="atLeast"/>
          <w:jc w:val="center"/>
        </w:trPr>
        <w:tc>
          <w:tcPr>
            <w:tcW w:w="5000" w:type="pct"/>
            <w:gridSpan w:val="5"/>
            <w:tcBorders>
              <w:bottom w:val="single" w:color="auto" w:sz="4" w:space="0"/>
            </w:tcBorders>
            <w:vAlign w:val="center"/>
          </w:tcPr>
          <w:p>
            <w:pPr>
              <w:pStyle w:val="9"/>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leftChars="0" w:right="110" w:rightChars="50" w:firstLine="218" w:firstLineChars="91"/>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成交人必须作好施工记录、隐蔽工程记录、施工资料的整理、竣工资料的编制等工作；</w:t>
            </w:r>
          </w:p>
          <w:p>
            <w:pPr>
              <w:pStyle w:val="9"/>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leftChars="0" w:right="110" w:rightChars="50" w:firstLine="218" w:firstLineChars="91"/>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成交人必须在施工现场显眼位置设置正规施工警示牌、工程概况牌，标注“温馨提示”语言。靠近人行通道边（或建设方以为有必要的其他周边）必须用整齐美观的板材围住；</w:t>
            </w:r>
          </w:p>
          <w:p>
            <w:pPr>
              <w:pStyle w:val="9"/>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leftChars="0" w:right="110" w:rightChars="50" w:firstLine="218" w:firstLineChars="91"/>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成交人施工必须达到有关部门规定的安全文明施工标准，确保施工场地区域道路通畅，保持施工现场整洁，做到工完场清，达到创建国家卫生城市标准；</w:t>
            </w:r>
          </w:p>
          <w:p>
            <w:pPr>
              <w:pStyle w:val="9"/>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leftChars="0" w:right="110" w:rightChars="50" w:firstLine="218" w:firstLineChars="91"/>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成交人必须在施工过程中注意自身及周边安全，做好现场及周边安全设施搭设，遵守有关安全保护规程，负责施工过程中的所有事故处理和费用；</w:t>
            </w:r>
          </w:p>
          <w:p>
            <w:pPr>
              <w:pStyle w:val="9"/>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leftChars="0" w:right="110" w:rightChars="50" w:firstLine="218" w:firstLineChars="91"/>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成交人必须服从采购单位，监理公司的监督、指导并积极主动配合上述管理机构的工作</w:t>
            </w:r>
            <w:r>
              <w:rPr>
                <w:rFonts w:hint="eastAsia" w:cs="宋体"/>
                <w:spacing w:val="0"/>
                <w:kern w:val="0"/>
                <w:sz w:val="24"/>
                <w:szCs w:val="24"/>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5000" w:type="pct"/>
            <w:gridSpan w:val="5"/>
            <w:tcBorders>
              <w:bottom w:val="single" w:color="auto" w:sz="4" w:space="0"/>
            </w:tcBorders>
            <w:vAlign w:val="center"/>
          </w:tcPr>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110" w:rightChars="50"/>
              <w:jc w:val="center"/>
              <w:textAlignment w:val="auto"/>
              <w:rPr>
                <w:rFonts w:hint="eastAsia" w:ascii="宋体" w:hAnsi="宋体" w:eastAsia="宋体" w:cs="宋体"/>
                <w:spacing w:val="0"/>
                <w:kern w:val="0"/>
                <w:sz w:val="24"/>
                <w:szCs w:val="24"/>
                <w:lang w:val="en-US" w:eastAsia="zh-CN" w:bidi="zh-CN"/>
              </w:rPr>
            </w:pPr>
            <w:r>
              <w:rPr>
                <w:rFonts w:hint="eastAsia" w:cs="宋体"/>
                <w:b/>
                <w:bCs/>
                <w:spacing w:val="0"/>
                <w:kern w:val="0"/>
                <w:sz w:val="24"/>
                <w:szCs w:val="24"/>
                <w:lang w:val="en-US" w:eastAsia="zh-CN" w:bidi="zh-CN"/>
              </w:rPr>
              <w:t>（六）</w:t>
            </w:r>
            <w:r>
              <w:rPr>
                <w:rFonts w:hint="eastAsia" w:ascii="宋体" w:hAnsi="宋体" w:eastAsia="宋体" w:cs="宋体"/>
                <w:b/>
                <w:bCs/>
                <w:spacing w:val="0"/>
                <w:kern w:val="0"/>
                <w:sz w:val="24"/>
                <w:szCs w:val="24"/>
                <w:lang w:val="en-US" w:eastAsia="zh-CN" w:bidi="zh-CN"/>
              </w:rPr>
              <w:t>保修期</w:t>
            </w:r>
            <w:r>
              <w:rPr>
                <w:rFonts w:hint="eastAsia" w:cs="宋体"/>
                <w:b/>
                <w:bCs/>
                <w:spacing w:val="0"/>
                <w:kern w:val="0"/>
                <w:sz w:val="24"/>
                <w:szCs w:val="24"/>
                <w:lang w:val="en-US" w:eastAsia="zh-CN" w:bidi="zh-CN"/>
              </w:rPr>
              <w:t>及</w:t>
            </w:r>
            <w:r>
              <w:rPr>
                <w:rFonts w:hint="eastAsia" w:ascii="宋体" w:hAnsi="宋体" w:eastAsia="宋体" w:cs="宋体"/>
                <w:b/>
                <w:bCs/>
                <w:spacing w:val="0"/>
                <w:kern w:val="0"/>
                <w:sz w:val="24"/>
                <w:szCs w:val="24"/>
                <w:lang w:val="en-US" w:eastAsia="zh-CN" w:bidi="zh-CN"/>
              </w:rPr>
              <w:t>保修期服务要求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0" w:hRule="atLeast"/>
          <w:jc w:val="center"/>
        </w:trPr>
        <w:tc>
          <w:tcPr>
            <w:tcW w:w="5000" w:type="pct"/>
            <w:gridSpan w:val="5"/>
            <w:tcBorders>
              <w:bottom w:val="single" w:color="auto" w:sz="4" w:space="0"/>
            </w:tcBorders>
          </w:tcPr>
          <w:p>
            <w:pPr>
              <w:pStyle w:val="9"/>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284" w:leftChars="0" w:right="110" w:rightChars="5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自全部工程竣工验收合格之日起算，不少于 1 年；</w:t>
            </w:r>
          </w:p>
          <w:p>
            <w:pPr>
              <w:pStyle w:val="9"/>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284" w:leftChars="0" w:right="110" w:rightChars="5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在工程保修期内，承包人应当根据有关法律以及合同规定，在约定的保修范围、保修期限内承担保修责任。保修的费用由造成质量缺陷的责任方承担。</w:t>
            </w:r>
          </w:p>
          <w:p>
            <w:pPr>
              <w:pStyle w:val="9"/>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284" w:leftChars="0" w:right="110" w:rightChars="5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属于保修范围、内容的项目，承包人应当在接到保修通知之日起 5 天内派人保修。承包人不在约定期限内派人保修的，发包人可以委托他人修理。</w:t>
            </w:r>
          </w:p>
          <w:p>
            <w:pPr>
              <w:pStyle w:val="9"/>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284" w:leftChars="0" w:right="110" w:rightChars="5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发紧急抢修事故的，承包人在接到事故通知后，应当立即到达事故现场抢修。</w:t>
            </w:r>
          </w:p>
          <w:p>
            <w:pPr>
              <w:pStyle w:val="9"/>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284" w:leftChars="0" w:right="110" w:rightChars="5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对于涉及结构安全的质量问题，应当按照有关规定，立即向当地建设行政主管部门报告，采取安全防范措施；由原设计单位或者具有相应资质等级的设计单位提出保修方案，承包人实施保修。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5000" w:type="pct"/>
            <w:gridSpan w:val="5"/>
            <w:tcBorders>
              <w:top w:val="single" w:color="auto" w:sz="4" w:space="0"/>
            </w:tcBorders>
            <w:vAlign w:val="center"/>
          </w:tcPr>
          <w:p>
            <w:pPr>
              <w:pStyle w:val="15"/>
              <w:keepNext w:val="0"/>
              <w:keepLines w:val="0"/>
              <w:pageBreakBefore w:val="0"/>
              <w:widowControl w:val="0"/>
              <w:kinsoku/>
              <w:wordWrap/>
              <w:overflowPunct/>
              <w:topLinePunct w:val="0"/>
              <w:autoSpaceDE w:val="0"/>
              <w:autoSpaceDN w:val="0"/>
              <w:bidi w:val="0"/>
              <w:adjustRightInd/>
              <w:snapToGrid/>
              <w:spacing w:before="100"/>
              <w:ind w:left="440" w:leftChars="200" w:right="0"/>
              <w:jc w:val="center"/>
              <w:textAlignment w:val="auto"/>
              <w:rPr>
                <w:rFonts w:hint="eastAsia" w:ascii="宋体" w:hAnsi="宋体" w:eastAsia="宋体" w:cs="宋体"/>
                <w:spacing w:val="0"/>
                <w:kern w:val="0"/>
                <w:sz w:val="24"/>
                <w:szCs w:val="24"/>
                <w:lang w:val="en-US" w:eastAsia="zh-CN" w:bidi="zh-CN"/>
              </w:rPr>
            </w:pPr>
            <w:r>
              <w:rPr>
                <w:rFonts w:hint="eastAsia" w:cs="宋体"/>
                <w:b/>
                <w:bCs/>
                <w:spacing w:val="0"/>
                <w:kern w:val="0"/>
                <w:sz w:val="24"/>
                <w:szCs w:val="24"/>
                <w:lang w:val="en-US" w:eastAsia="zh-CN" w:bidi="zh-CN"/>
              </w:rPr>
              <w:t>（七）</w:t>
            </w:r>
            <w:r>
              <w:rPr>
                <w:rFonts w:hint="eastAsia" w:ascii="宋体" w:hAnsi="宋体" w:eastAsia="宋体" w:cs="宋体"/>
                <w:b/>
                <w:bCs/>
                <w:spacing w:val="0"/>
                <w:kern w:val="0"/>
                <w:sz w:val="24"/>
                <w:szCs w:val="24"/>
                <w:lang w:val="en-US" w:eastAsia="zh-CN" w:bidi="zh-CN"/>
              </w:rPr>
              <w:t>付款方式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jc w:val="center"/>
        </w:trPr>
        <w:tc>
          <w:tcPr>
            <w:tcW w:w="5000" w:type="pct"/>
            <w:gridSpan w:val="5"/>
            <w:vAlign w:val="center"/>
          </w:tcPr>
          <w:p>
            <w:pPr>
              <w:pStyle w:val="14"/>
              <w:keepNext w:val="0"/>
              <w:keepLines w:val="0"/>
              <w:pageBreakBefore w:val="0"/>
              <w:widowControl w:val="0"/>
              <w:numPr>
                <w:ilvl w:val="0"/>
                <w:numId w:val="9"/>
              </w:numPr>
              <w:tabs>
                <w:tab w:val="left" w:pos="880"/>
                <w:tab w:val="clear" w:pos="420"/>
              </w:tabs>
              <w:kinsoku/>
              <w:wordWrap/>
              <w:overflowPunct/>
              <w:topLinePunct w:val="0"/>
              <w:autoSpaceDE w:val="0"/>
              <w:autoSpaceDN w:val="0"/>
              <w:bidi w:val="0"/>
              <w:adjustRightInd/>
              <w:snapToGrid/>
              <w:spacing w:before="0" w:after="0" w:line="360" w:lineRule="auto"/>
              <w:ind w:left="845" w:leftChars="0" w:right="110" w:rightChars="50" w:hanging="425" w:firstLineChars="0"/>
              <w:jc w:val="left"/>
              <w:textAlignment w:val="auto"/>
              <w:rPr>
                <w:spacing w:val="0"/>
                <w:sz w:val="21"/>
              </w:rPr>
            </w:pPr>
            <w:r>
              <w:rPr>
                <w:rFonts w:ascii="宋体" w:hAnsi="宋体" w:eastAsia="宋体" w:cs="宋体"/>
                <w:sz w:val="24"/>
                <w:szCs w:val="24"/>
              </w:rPr>
              <w:t>由采购人按下列程序付款：</w:t>
            </w:r>
          </w:p>
          <w:p>
            <w:pPr>
              <w:pStyle w:val="14"/>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420" w:leftChars="0" w:right="110" w:rightChars="50"/>
              <w:jc w:val="left"/>
              <w:textAlignment w:val="auto"/>
              <w:rPr>
                <w:rFonts w:ascii="宋体" w:hAnsi="宋体" w:eastAsia="宋体" w:cs="宋体"/>
                <w:sz w:val="24"/>
                <w:szCs w:val="24"/>
              </w:rPr>
            </w:pPr>
            <w:r>
              <w:rPr>
                <w:rFonts w:hint="eastAsia" w:cs="宋体"/>
                <w:sz w:val="24"/>
                <w:szCs w:val="24"/>
                <w:lang w:val="en-US" w:eastAsia="zh-CN"/>
              </w:rPr>
              <w:t>1.1 预付款：签订合同后申请支付</w:t>
            </w:r>
            <w:r>
              <w:rPr>
                <w:rFonts w:ascii="宋体" w:hAnsi="宋体" w:eastAsia="宋体" w:cs="宋体"/>
                <w:sz w:val="24"/>
                <w:szCs w:val="24"/>
              </w:rPr>
              <w:t>合同总价的30%；</w:t>
            </w:r>
          </w:p>
          <w:p>
            <w:pPr>
              <w:pStyle w:val="14"/>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420" w:leftChars="0" w:right="110" w:rightChars="50"/>
              <w:jc w:val="left"/>
              <w:textAlignment w:val="auto"/>
              <w:rPr>
                <w:rFonts w:hint="eastAsia" w:eastAsia="宋体"/>
                <w:spacing w:val="0"/>
                <w:sz w:val="21"/>
                <w:lang w:eastAsia="zh-CN"/>
              </w:rPr>
            </w:pPr>
            <w:r>
              <w:rPr>
                <w:rFonts w:hint="eastAsia" w:cs="宋体"/>
                <w:sz w:val="24"/>
                <w:szCs w:val="24"/>
                <w:lang w:val="en-US" w:eastAsia="zh-CN"/>
              </w:rPr>
              <w:t xml:space="preserve">1.2 </w:t>
            </w:r>
            <w:r>
              <w:rPr>
                <w:rFonts w:hint="eastAsia" w:ascii="宋体" w:hAnsi="宋体" w:eastAsia="宋体" w:cs="宋体"/>
                <w:sz w:val="24"/>
                <w:szCs w:val="24"/>
              </w:rPr>
              <w:t>完成项目内容并竣工验收后支付</w:t>
            </w:r>
            <w:r>
              <w:rPr>
                <w:rFonts w:ascii="宋体" w:hAnsi="宋体" w:eastAsia="宋体" w:cs="宋体"/>
                <w:sz w:val="24"/>
                <w:szCs w:val="24"/>
              </w:rPr>
              <w:t>合同总价的</w:t>
            </w:r>
            <w:r>
              <w:rPr>
                <w:rFonts w:hint="eastAsia" w:cs="宋体"/>
                <w:sz w:val="24"/>
                <w:szCs w:val="24"/>
                <w:lang w:val="en-US" w:eastAsia="zh-CN"/>
              </w:rPr>
              <w:t>6</w:t>
            </w:r>
            <w:r>
              <w:rPr>
                <w:rFonts w:ascii="宋体" w:hAnsi="宋体" w:eastAsia="宋体" w:cs="宋体"/>
                <w:sz w:val="24"/>
                <w:szCs w:val="24"/>
              </w:rPr>
              <w:t>7%</w:t>
            </w:r>
            <w:r>
              <w:rPr>
                <w:rFonts w:hint="eastAsia" w:cs="宋体"/>
                <w:sz w:val="24"/>
                <w:szCs w:val="24"/>
                <w:lang w:eastAsia="zh-CN"/>
              </w:rPr>
              <w:t>；</w:t>
            </w:r>
          </w:p>
          <w:p>
            <w:pPr>
              <w:pStyle w:val="14"/>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420" w:leftChars="0" w:right="110" w:rightChars="50"/>
              <w:jc w:val="left"/>
              <w:textAlignment w:val="auto"/>
              <w:rPr>
                <w:rFonts w:ascii="宋体" w:hAnsi="宋体" w:eastAsia="宋体" w:cs="宋体"/>
                <w:sz w:val="24"/>
                <w:szCs w:val="24"/>
              </w:rPr>
            </w:pPr>
            <w:r>
              <w:rPr>
                <w:rFonts w:hint="eastAsia" w:cs="宋体"/>
                <w:sz w:val="24"/>
                <w:szCs w:val="24"/>
                <w:lang w:val="en-US" w:eastAsia="zh-CN"/>
              </w:rPr>
              <w:t xml:space="preserve">1.3 </w:t>
            </w:r>
            <w:r>
              <w:rPr>
                <w:rFonts w:ascii="宋体" w:hAnsi="宋体" w:eastAsia="宋体" w:cs="宋体"/>
                <w:sz w:val="24"/>
                <w:szCs w:val="24"/>
              </w:rPr>
              <w:t>余下3%作为质保金，在保修期内若无出现违反合同情形的，在保修期期满后</w:t>
            </w:r>
            <w:r>
              <w:rPr>
                <w:rFonts w:hint="eastAsia" w:ascii="宋体" w:hAnsi="宋体" w:eastAsia="宋体" w:cs="宋体"/>
                <w:sz w:val="24"/>
                <w:szCs w:val="24"/>
                <w:lang w:val="en-US" w:eastAsia="zh-CN"/>
              </w:rPr>
              <w:t>15天内</w:t>
            </w:r>
            <w:r>
              <w:rPr>
                <w:rFonts w:ascii="宋体" w:hAnsi="宋体" w:eastAsia="宋体" w:cs="宋体"/>
                <w:sz w:val="24"/>
                <w:szCs w:val="24"/>
              </w:rPr>
              <w:t>无息支付完毕。</w:t>
            </w:r>
          </w:p>
          <w:p>
            <w:pPr>
              <w:pStyle w:val="14"/>
              <w:keepNext w:val="0"/>
              <w:keepLines w:val="0"/>
              <w:pageBreakBefore w:val="0"/>
              <w:widowControl w:val="0"/>
              <w:numPr>
                <w:ilvl w:val="0"/>
                <w:numId w:val="9"/>
              </w:numPr>
              <w:tabs>
                <w:tab w:val="left" w:pos="880"/>
                <w:tab w:val="clear" w:pos="420"/>
              </w:tabs>
              <w:kinsoku/>
              <w:wordWrap/>
              <w:overflowPunct/>
              <w:topLinePunct w:val="0"/>
              <w:autoSpaceDE w:val="0"/>
              <w:autoSpaceDN w:val="0"/>
              <w:bidi w:val="0"/>
              <w:adjustRightInd/>
              <w:snapToGrid/>
              <w:spacing w:before="0" w:after="0" w:line="360" w:lineRule="auto"/>
              <w:ind w:left="845" w:leftChars="0" w:right="110" w:rightChars="50" w:hanging="425" w:firstLineChars="0"/>
              <w:jc w:val="left"/>
              <w:textAlignment w:val="auto"/>
              <w:rPr>
                <w:spacing w:val="0"/>
                <w:sz w:val="21"/>
              </w:rPr>
            </w:pPr>
            <w:r>
              <w:rPr>
                <w:rFonts w:ascii="宋体" w:hAnsi="宋体" w:eastAsia="宋体" w:cs="宋体"/>
                <w:sz w:val="24"/>
                <w:szCs w:val="24"/>
              </w:rPr>
              <w:t>成交人凭以下有效文件与采购人结算：</w:t>
            </w:r>
          </w:p>
          <w:p>
            <w:pPr>
              <w:pStyle w:val="14"/>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420" w:leftChars="0" w:right="110" w:rightChars="50"/>
              <w:jc w:val="left"/>
              <w:textAlignment w:val="auto"/>
              <w:rPr>
                <w:spacing w:val="0"/>
                <w:sz w:val="21"/>
              </w:rPr>
            </w:pPr>
            <w:r>
              <w:rPr>
                <w:rFonts w:hint="eastAsia" w:cs="宋体"/>
                <w:sz w:val="24"/>
                <w:szCs w:val="24"/>
                <w:lang w:val="en-US" w:eastAsia="zh-CN"/>
              </w:rPr>
              <w:t xml:space="preserve">2.1 </w:t>
            </w:r>
            <w:r>
              <w:rPr>
                <w:rFonts w:ascii="宋体" w:hAnsi="宋体" w:eastAsia="宋体" w:cs="宋体"/>
                <w:sz w:val="24"/>
                <w:szCs w:val="24"/>
              </w:rPr>
              <w:t>合同；</w:t>
            </w:r>
          </w:p>
          <w:p>
            <w:pPr>
              <w:pStyle w:val="14"/>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420" w:leftChars="0" w:right="110" w:rightChars="50"/>
              <w:jc w:val="left"/>
              <w:textAlignment w:val="auto"/>
              <w:rPr>
                <w:spacing w:val="0"/>
                <w:sz w:val="21"/>
              </w:rPr>
            </w:pPr>
            <w:r>
              <w:rPr>
                <w:rFonts w:hint="eastAsia" w:cs="宋体"/>
                <w:sz w:val="24"/>
                <w:szCs w:val="24"/>
                <w:lang w:val="en-US" w:eastAsia="zh-CN"/>
              </w:rPr>
              <w:t xml:space="preserve">2.2 </w:t>
            </w:r>
            <w:r>
              <w:rPr>
                <w:rFonts w:ascii="宋体" w:hAnsi="宋体" w:eastAsia="宋体" w:cs="宋体"/>
                <w:sz w:val="24"/>
                <w:szCs w:val="24"/>
              </w:rPr>
              <w:t>成交人开具的正式发票；</w:t>
            </w:r>
          </w:p>
          <w:p>
            <w:pPr>
              <w:pStyle w:val="14"/>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420" w:leftChars="0" w:right="110" w:rightChars="50"/>
              <w:jc w:val="left"/>
              <w:textAlignment w:val="auto"/>
              <w:rPr>
                <w:spacing w:val="0"/>
                <w:sz w:val="21"/>
              </w:rPr>
            </w:pPr>
            <w:r>
              <w:rPr>
                <w:rFonts w:hint="eastAsia" w:cs="宋体"/>
                <w:sz w:val="24"/>
                <w:szCs w:val="24"/>
                <w:lang w:val="en-US" w:eastAsia="zh-CN"/>
              </w:rPr>
              <w:t xml:space="preserve">2.3 </w:t>
            </w:r>
            <w:r>
              <w:rPr>
                <w:rFonts w:ascii="宋体" w:hAnsi="宋体" w:eastAsia="宋体" w:cs="宋体"/>
                <w:sz w:val="24"/>
                <w:szCs w:val="24"/>
              </w:rPr>
              <w:t>验收报告（加盖采购人公章）；</w:t>
            </w:r>
          </w:p>
          <w:p>
            <w:pPr>
              <w:pStyle w:val="14"/>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420" w:leftChars="0" w:right="110" w:rightChars="50"/>
              <w:jc w:val="left"/>
              <w:textAlignment w:val="auto"/>
              <w:rPr>
                <w:spacing w:val="0"/>
                <w:sz w:val="21"/>
              </w:rPr>
            </w:pPr>
            <w:r>
              <w:rPr>
                <w:rFonts w:hint="eastAsia" w:cs="宋体"/>
                <w:sz w:val="24"/>
                <w:szCs w:val="24"/>
                <w:lang w:val="en-US" w:eastAsia="zh-CN"/>
              </w:rPr>
              <w:t xml:space="preserve">2.4 </w:t>
            </w:r>
            <w:r>
              <w:rPr>
                <w:rFonts w:ascii="宋体" w:hAnsi="宋体" w:eastAsia="宋体" w:cs="宋体"/>
                <w:sz w:val="24"/>
                <w:szCs w:val="24"/>
              </w:rPr>
              <w:t>成交通知书。</w:t>
            </w:r>
          </w:p>
          <w:p>
            <w:pPr>
              <w:pStyle w:val="14"/>
              <w:keepNext w:val="0"/>
              <w:keepLines w:val="0"/>
              <w:pageBreakBefore w:val="0"/>
              <w:widowControl w:val="0"/>
              <w:numPr>
                <w:ilvl w:val="0"/>
                <w:numId w:val="9"/>
              </w:numPr>
              <w:tabs>
                <w:tab w:val="left" w:pos="880"/>
                <w:tab w:val="clear" w:pos="420"/>
              </w:tabs>
              <w:kinsoku/>
              <w:wordWrap/>
              <w:overflowPunct/>
              <w:topLinePunct w:val="0"/>
              <w:autoSpaceDE w:val="0"/>
              <w:autoSpaceDN w:val="0"/>
              <w:bidi w:val="0"/>
              <w:adjustRightInd/>
              <w:snapToGrid/>
              <w:spacing w:before="0" w:after="0" w:line="360" w:lineRule="auto"/>
              <w:ind w:left="845" w:leftChars="0" w:right="110" w:rightChars="50" w:hanging="425" w:firstLineChars="0"/>
              <w:jc w:val="left"/>
              <w:textAlignment w:val="auto"/>
              <w:rPr>
                <w:spacing w:val="0"/>
                <w:sz w:val="21"/>
              </w:rPr>
            </w:pPr>
            <w:r>
              <w:rPr>
                <w:rFonts w:ascii="宋体" w:hAnsi="宋体" w:eastAsia="宋体" w:cs="宋体"/>
                <w:sz w:val="24"/>
                <w:szCs w:val="24"/>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r>
              <w:rPr>
                <w:rFonts w:hint="eastAsia" w:ascii="宋体" w:hAnsi="宋体" w:eastAsia="宋体" w:cs="宋体"/>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5000" w:type="pct"/>
            <w:gridSpan w:val="5"/>
            <w:vAlign w:val="center"/>
          </w:tcPr>
          <w:p>
            <w:pPr>
              <w:pStyle w:val="14"/>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145" w:after="0" w:line="360" w:lineRule="auto"/>
              <w:ind w:leftChars="50" w:right="0" w:rightChars="0"/>
              <w:jc w:val="center"/>
              <w:textAlignment w:val="auto"/>
              <w:rPr>
                <w:rFonts w:hint="default" w:eastAsia="宋体"/>
                <w:spacing w:val="0"/>
                <w:sz w:val="21"/>
                <w:szCs w:val="21"/>
                <w:lang w:val="en-US" w:eastAsia="zh-CN"/>
              </w:rPr>
            </w:pPr>
            <w:r>
              <w:rPr>
                <w:rFonts w:hint="eastAsia"/>
                <w:b/>
                <w:bCs/>
                <w:spacing w:val="0"/>
                <w:sz w:val="24"/>
                <w:szCs w:val="24"/>
                <w:lang w:val="en-US" w:eastAsia="zh-CN"/>
              </w:rPr>
              <w:t>（八）验收方案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0" w:hRule="atLeast"/>
          <w:jc w:val="center"/>
        </w:trPr>
        <w:tc>
          <w:tcPr>
            <w:tcW w:w="5000" w:type="pct"/>
            <w:gridSpan w:val="5"/>
          </w:tcPr>
          <w:p>
            <w:pPr>
              <w:pStyle w:val="15"/>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成交人应给出项目详细的验收方案；</w:t>
            </w:r>
          </w:p>
          <w:p>
            <w:pPr>
              <w:pStyle w:val="15"/>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验收由采购人、成交人及相关人员依国家有关标准、合同及有关附件要求进行。验收完毕由采购人及成交单位在验收报告上签名；</w:t>
            </w:r>
          </w:p>
          <w:p>
            <w:pPr>
              <w:pStyle w:val="15"/>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按照国家颁布的现行相关行业规定标准进行验收，如验收不合格的必须返工，返工费由成交人负责；</w:t>
            </w:r>
          </w:p>
          <w:p>
            <w:pPr>
              <w:pStyle w:val="15"/>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各项技术经济指标先进，应结合当前的施工技术水平，建设方案、设计方案具有实施性；</w:t>
            </w:r>
          </w:p>
          <w:p>
            <w:pPr>
              <w:pStyle w:val="15"/>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按工程规划要点和工程建设的要求，在满足主要功能的前提下，应优先采用科学、先进的设计理念和方法；</w:t>
            </w:r>
          </w:p>
          <w:p>
            <w:pPr>
              <w:pStyle w:val="15"/>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当项目性能无法达到采购人的要求时，采购人可拒绝验收，由此造成的损失全部由成交人承担；</w:t>
            </w:r>
          </w:p>
          <w:p>
            <w:pPr>
              <w:pStyle w:val="15"/>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所有验收文件、测试报告、资料要提交给采购人留档备案；</w:t>
            </w:r>
          </w:p>
          <w:p>
            <w:pPr>
              <w:pStyle w:val="15"/>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spacing w:val="0"/>
                <w:sz w:val="24"/>
                <w:szCs w:val="24"/>
              </w:rPr>
            </w:pPr>
            <w:r>
              <w:rPr>
                <w:rFonts w:hint="eastAsia" w:cs="宋体"/>
                <w:spacing w:val="0"/>
                <w:sz w:val="24"/>
                <w:szCs w:val="24"/>
                <w:lang w:val="en-US" w:eastAsia="zh-CN" w:bidi="zh-CN"/>
              </w:rPr>
              <w:t>成交人若违反相关规定，发生重大生产安全事故的，采购人有权单方面终止合同。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5000" w:type="pct"/>
            <w:gridSpan w:val="5"/>
          </w:tcPr>
          <w:p>
            <w:pPr>
              <w:pStyle w:val="15"/>
              <w:keepNext w:val="0"/>
              <w:keepLines w:val="0"/>
              <w:pageBreakBefore w:val="0"/>
              <w:widowControl w:val="0"/>
              <w:kinsoku/>
              <w:wordWrap/>
              <w:overflowPunct/>
              <w:topLinePunct w:val="0"/>
              <w:autoSpaceDE w:val="0"/>
              <w:autoSpaceDN w:val="0"/>
              <w:bidi w:val="0"/>
              <w:adjustRightInd/>
              <w:snapToGrid/>
              <w:spacing w:before="99"/>
              <w:ind w:right="0"/>
              <w:jc w:val="center"/>
              <w:textAlignment w:val="auto"/>
              <w:rPr>
                <w:spacing w:val="0"/>
                <w:sz w:val="24"/>
                <w:szCs w:val="24"/>
              </w:rPr>
            </w:pPr>
            <w:r>
              <w:rPr>
                <w:rFonts w:hint="eastAsia"/>
                <w:b/>
                <w:bCs/>
                <w:spacing w:val="0"/>
                <w:sz w:val="24"/>
                <w:szCs w:val="24"/>
                <w:lang w:eastAsia="zh-CN"/>
              </w:rPr>
              <w:t>（</w:t>
            </w:r>
            <w:r>
              <w:rPr>
                <w:rFonts w:hint="eastAsia"/>
                <w:b/>
                <w:bCs/>
                <w:spacing w:val="0"/>
                <w:sz w:val="24"/>
                <w:szCs w:val="24"/>
                <w:lang w:val="en-US" w:eastAsia="zh-CN"/>
              </w:rPr>
              <w:t>九</w:t>
            </w:r>
            <w:r>
              <w:rPr>
                <w:rFonts w:hint="eastAsia"/>
                <w:b/>
                <w:bCs/>
                <w:spacing w:val="0"/>
                <w:sz w:val="24"/>
                <w:szCs w:val="24"/>
                <w:lang w:eastAsia="zh-CN"/>
              </w:rPr>
              <w:t>）</w:t>
            </w:r>
            <w:r>
              <w:rPr>
                <w:b/>
                <w:bCs/>
                <w:spacing w:val="0"/>
                <w:sz w:val="24"/>
                <w:szCs w:val="24"/>
              </w:rPr>
              <w:t>售后服务及其他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3" w:hRule="atLeast"/>
          <w:jc w:val="center"/>
        </w:trPr>
        <w:tc>
          <w:tcPr>
            <w:tcW w:w="5000" w:type="pct"/>
            <w:gridSpan w:val="5"/>
          </w:tcPr>
          <w:p>
            <w:pPr>
              <w:pStyle w:val="15"/>
              <w:keepNext w:val="0"/>
              <w:keepLines w:val="0"/>
              <w:pageBreakBefore w:val="0"/>
              <w:widowControl w:val="0"/>
              <w:numPr>
                <w:ilvl w:val="0"/>
                <w:numId w:val="11"/>
              </w:numPr>
              <w:tabs>
                <w:tab w:val="left" w:pos="420"/>
                <w:tab w:val="clear" w:pos="840"/>
              </w:tabs>
              <w:kinsoku/>
              <w:wordWrap/>
              <w:overflowPunct/>
              <w:topLinePunct w:val="0"/>
              <w:autoSpaceDE w:val="0"/>
              <w:autoSpaceDN w:val="0"/>
              <w:bidi w:val="0"/>
              <w:adjustRightInd/>
              <w:snapToGrid/>
              <w:spacing w:before="101" w:line="360" w:lineRule="auto"/>
              <w:ind w:left="709" w:leftChars="0" w:right="110" w:rightChars="50" w:hanging="425" w:firstLineChars="0"/>
              <w:textAlignment w:val="auto"/>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rPr>
              <w:t>供应商须对项目实施提供必要的技术支持和服务保证</w:t>
            </w:r>
            <w:r>
              <w:rPr>
                <w:rFonts w:hint="eastAsia" w:asciiTheme="minorEastAsia" w:hAnsiTheme="minorEastAsia" w:eastAsiaTheme="minorEastAsia" w:cstheme="minorEastAsia"/>
                <w:spacing w:val="0"/>
                <w:sz w:val="24"/>
                <w:szCs w:val="24"/>
                <w:lang w:eastAsia="zh-CN"/>
              </w:rPr>
              <w:t>；</w:t>
            </w:r>
          </w:p>
          <w:p>
            <w:pPr>
              <w:pStyle w:val="15"/>
              <w:keepNext w:val="0"/>
              <w:keepLines w:val="0"/>
              <w:pageBreakBefore w:val="0"/>
              <w:widowControl w:val="0"/>
              <w:numPr>
                <w:ilvl w:val="0"/>
                <w:numId w:val="11"/>
              </w:numPr>
              <w:tabs>
                <w:tab w:val="left" w:pos="420"/>
                <w:tab w:val="clear" w:pos="840"/>
              </w:tabs>
              <w:kinsoku/>
              <w:wordWrap/>
              <w:overflowPunct/>
              <w:topLinePunct w:val="0"/>
              <w:autoSpaceDE w:val="0"/>
              <w:autoSpaceDN w:val="0"/>
              <w:bidi w:val="0"/>
              <w:adjustRightInd/>
              <w:snapToGrid/>
              <w:spacing w:before="1" w:line="360" w:lineRule="auto"/>
              <w:ind w:left="709" w:leftChars="0" w:right="110" w:rightChars="50" w:hanging="425" w:firstLineChars="0"/>
              <w:textAlignment w:val="auto"/>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rPr>
              <w:t>最终成果要求：成交人提交的项目成果质量必须符合项目要求且通过采购人的验收</w:t>
            </w:r>
            <w:r>
              <w:rPr>
                <w:rFonts w:hint="eastAsia" w:asciiTheme="minorEastAsia" w:hAnsiTheme="minorEastAsia" w:eastAsiaTheme="minorEastAsia" w:cstheme="minorEastAsia"/>
                <w:spacing w:val="0"/>
                <w:sz w:val="24"/>
                <w:szCs w:val="24"/>
                <w:lang w:eastAsia="zh-CN"/>
              </w:rPr>
              <w:t>；</w:t>
            </w:r>
          </w:p>
          <w:p>
            <w:pPr>
              <w:pStyle w:val="15"/>
              <w:keepNext w:val="0"/>
              <w:keepLines w:val="0"/>
              <w:pageBreakBefore w:val="0"/>
              <w:widowControl w:val="0"/>
              <w:numPr>
                <w:ilvl w:val="0"/>
                <w:numId w:val="11"/>
              </w:numPr>
              <w:tabs>
                <w:tab w:val="left" w:pos="420"/>
                <w:tab w:val="clear" w:pos="840"/>
              </w:tabs>
              <w:kinsoku/>
              <w:wordWrap/>
              <w:overflowPunct/>
              <w:topLinePunct w:val="0"/>
              <w:autoSpaceDE w:val="0"/>
              <w:autoSpaceDN w:val="0"/>
              <w:bidi w:val="0"/>
              <w:adjustRightInd/>
              <w:snapToGrid/>
              <w:spacing w:before="1" w:line="360" w:lineRule="auto"/>
              <w:ind w:left="709" w:leftChars="0" w:right="110" w:rightChars="50" w:hanging="425" w:firstLineChars="0"/>
              <w:textAlignment w:val="auto"/>
              <w:rPr>
                <w:spacing w:val="0"/>
                <w:sz w:val="24"/>
                <w:szCs w:val="24"/>
              </w:rPr>
            </w:pPr>
            <w:r>
              <w:rPr>
                <w:rFonts w:hint="eastAsia" w:asciiTheme="minorEastAsia" w:hAnsiTheme="minorEastAsia" w:eastAsiaTheme="minorEastAsia" w:cstheme="minorEastAsia"/>
                <w:spacing w:val="0"/>
                <w:sz w:val="24"/>
                <w:szCs w:val="24"/>
              </w:rPr>
              <w:t>工程质量不合格、不符合设计标准、达不到设计要求，或施工程序不按施工规范的，采购人有权要求成交人停工和返工，因停工和返工造成的一切损失由成交人自行承担，不予顺延</w:t>
            </w:r>
            <w:r>
              <w:rPr>
                <w:rFonts w:hint="eastAsia" w:asciiTheme="minorEastAsia" w:hAnsiTheme="minorEastAsia" w:eastAsiaTheme="minorEastAsia" w:cstheme="minorEastAsia"/>
                <w:spacing w:val="0"/>
                <w:sz w:val="24"/>
                <w:szCs w:val="24"/>
                <w:lang w:eastAsia="zh-CN"/>
              </w:rPr>
              <w:t>；</w:t>
            </w:r>
          </w:p>
          <w:p>
            <w:pPr>
              <w:pStyle w:val="15"/>
              <w:keepNext w:val="0"/>
              <w:keepLines w:val="0"/>
              <w:pageBreakBefore w:val="0"/>
              <w:widowControl w:val="0"/>
              <w:numPr>
                <w:ilvl w:val="0"/>
                <w:numId w:val="11"/>
              </w:numPr>
              <w:tabs>
                <w:tab w:val="left" w:pos="420"/>
                <w:tab w:val="clear" w:pos="840"/>
              </w:tabs>
              <w:kinsoku/>
              <w:wordWrap/>
              <w:overflowPunct/>
              <w:topLinePunct w:val="0"/>
              <w:autoSpaceDE w:val="0"/>
              <w:autoSpaceDN w:val="0"/>
              <w:bidi w:val="0"/>
              <w:adjustRightInd/>
              <w:snapToGrid/>
              <w:spacing w:before="1" w:line="360" w:lineRule="auto"/>
              <w:ind w:left="709" w:leftChars="0" w:right="110" w:rightChars="50" w:hanging="425" w:firstLineChars="0"/>
              <w:textAlignment w:val="auto"/>
              <w:rPr>
                <w:spacing w:val="0"/>
                <w:sz w:val="24"/>
                <w:szCs w:val="24"/>
              </w:rPr>
            </w:pPr>
            <w:r>
              <w:rPr>
                <w:rFonts w:hint="eastAsia" w:asciiTheme="minorEastAsia" w:hAnsiTheme="minorEastAsia" w:eastAsiaTheme="minorEastAsia" w:cstheme="minorEastAsia"/>
                <w:spacing w:val="0"/>
                <w:sz w:val="24"/>
                <w:szCs w:val="24"/>
                <w:lang w:val="zh-CN" w:eastAsia="zh-CN" w:bidi="zh-CN"/>
              </w:rPr>
              <w:t>因成交人原因致使工</w:t>
            </w:r>
            <w:r>
              <w:rPr>
                <w:rFonts w:hint="eastAsia" w:asciiTheme="minorEastAsia" w:hAnsiTheme="minorEastAsia" w:eastAsiaTheme="minorEastAsia" w:cstheme="minorEastAsia"/>
                <w:spacing w:val="0"/>
                <w:sz w:val="24"/>
                <w:szCs w:val="24"/>
              </w:rPr>
              <w:t>程在国家规定的工程合理使用期限内造成人身和财产损害的，成交人应承担赔偿责任。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5000" w:type="pct"/>
            <w:gridSpan w:val="5"/>
          </w:tcPr>
          <w:p>
            <w:pPr>
              <w:pStyle w:val="15"/>
              <w:keepNext w:val="0"/>
              <w:keepLines w:val="0"/>
              <w:pageBreakBefore w:val="0"/>
              <w:widowControl w:val="0"/>
              <w:numPr>
                <w:ilvl w:val="0"/>
                <w:numId w:val="0"/>
              </w:numPr>
              <w:kinsoku/>
              <w:wordWrap/>
              <w:overflowPunct/>
              <w:topLinePunct w:val="0"/>
              <w:autoSpaceDE w:val="0"/>
              <w:autoSpaceDN w:val="0"/>
              <w:bidi w:val="0"/>
              <w:adjustRightInd/>
              <w:snapToGrid/>
              <w:spacing w:before="1" w:line="360" w:lineRule="auto"/>
              <w:ind w:leftChars="50" w:right="0" w:rightChars="0"/>
              <w:textAlignment w:val="auto"/>
              <w:rPr>
                <w:rFonts w:hint="eastAsia" w:asciiTheme="minorEastAsia" w:hAnsiTheme="minorEastAsia" w:eastAsiaTheme="minorEastAsia" w:cstheme="minorEastAsia"/>
                <w:spacing w:val="0"/>
                <w:sz w:val="21"/>
                <w:szCs w:val="22"/>
                <w:lang w:val="zh-CN" w:eastAsia="zh-CN" w:bidi="zh-CN"/>
              </w:rPr>
            </w:pPr>
            <w:r>
              <w:rPr>
                <w:rFonts w:hint="eastAsia" w:ascii="宋体" w:hAnsi="宋体" w:eastAsia="宋体" w:cs="宋体"/>
                <w:b/>
                <w:bCs w:val="0"/>
                <w:spacing w:val="0"/>
                <w:sz w:val="24"/>
                <w:szCs w:val="24"/>
                <w:lang w:val="en-US" w:eastAsia="zh-CN" w:bidi="zh-CN"/>
              </w:rPr>
              <w:t>三、</w:t>
            </w:r>
            <w:r>
              <w:rPr>
                <w:rFonts w:hint="eastAsia" w:ascii="宋体" w:hAnsi="宋体" w:eastAsia="宋体" w:cs="宋体"/>
                <w:b/>
                <w:bCs w:val="0"/>
                <w:spacing w:val="0"/>
                <w:sz w:val="24"/>
                <w:szCs w:val="24"/>
                <w:lang w:val="zh-CN" w:eastAsia="zh-CN" w:bidi="zh-CN"/>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5000" w:type="pct"/>
            <w:gridSpan w:val="5"/>
            <w:vAlign w:val="center"/>
          </w:tcPr>
          <w:p>
            <w:pPr>
              <w:pStyle w:val="15"/>
              <w:keepNext w:val="0"/>
              <w:keepLines w:val="0"/>
              <w:pageBreakBefore w:val="0"/>
              <w:widowControl w:val="0"/>
              <w:numPr>
                <w:ilvl w:val="0"/>
                <w:numId w:val="0"/>
              </w:numPr>
              <w:kinsoku/>
              <w:wordWrap/>
              <w:overflowPunct/>
              <w:topLinePunct w:val="0"/>
              <w:autoSpaceDE w:val="0"/>
              <w:autoSpaceDN w:val="0"/>
              <w:bidi w:val="0"/>
              <w:adjustRightInd/>
              <w:snapToGrid/>
              <w:spacing w:before="1" w:line="360" w:lineRule="auto"/>
              <w:ind w:leftChars="50" w:right="0" w:rightChars="0"/>
              <w:jc w:val="center"/>
              <w:textAlignment w:val="auto"/>
              <w:rPr>
                <w:rFonts w:hint="eastAsia" w:asciiTheme="minorEastAsia" w:hAnsiTheme="minorEastAsia" w:eastAsiaTheme="minorEastAsia" w:cstheme="minorEastAsia"/>
                <w:spacing w:val="0"/>
                <w:sz w:val="21"/>
                <w:szCs w:val="22"/>
                <w:lang w:val="zh-CN" w:eastAsia="zh-CN" w:bidi="zh-CN"/>
              </w:rPr>
            </w:pPr>
            <w:r>
              <w:rPr>
                <w:rFonts w:hint="eastAsia" w:cs="宋体"/>
                <w:b/>
                <w:bCs/>
                <w:spacing w:val="0"/>
                <w:sz w:val="24"/>
                <w:szCs w:val="24"/>
                <w:lang w:val="en-US" w:eastAsia="zh-CN" w:bidi="zh-CN"/>
              </w:rPr>
              <w:t>（一）</w:t>
            </w:r>
            <w:r>
              <w:rPr>
                <w:rFonts w:hint="eastAsia" w:ascii="宋体" w:hAnsi="宋体" w:eastAsia="宋体" w:cs="宋体"/>
                <w:b/>
                <w:bCs/>
                <w:spacing w:val="0"/>
                <w:sz w:val="24"/>
                <w:szCs w:val="24"/>
                <w:lang w:val="en-US" w:eastAsia="zh-CN" w:bidi="zh-CN"/>
              </w:rPr>
              <w:t>工程概述、工程相关内容及规模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8" w:hRule="atLeast"/>
          <w:jc w:val="center"/>
        </w:trPr>
        <w:tc>
          <w:tcPr>
            <w:tcW w:w="5000" w:type="pct"/>
            <w:gridSpan w:val="5"/>
            <w:vAlign w:val="center"/>
          </w:tcPr>
          <w:p>
            <w:pPr>
              <w:pStyle w:val="8"/>
              <w:keepNext w:val="0"/>
              <w:keepLines w:val="0"/>
              <w:pageBreakBefore w:val="0"/>
              <w:widowControl/>
              <w:numPr>
                <w:ilvl w:val="0"/>
                <w:numId w:val="12"/>
              </w:numPr>
              <w:suppressLineNumbers w:val="0"/>
              <w:kinsoku/>
              <w:wordWrap/>
              <w:overflowPunct/>
              <w:topLinePunct w:val="0"/>
              <w:autoSpaceDE w:val="0"/>
              <w:autoSpaceDN w:val="0"/>
              <w:bidi w:val="0"/>
              <w:adjustRightInd/>
              <w:snapToGrid/>
              <w:spacing w:line="360" w:lineRule="auto"/>
              <w:ind w:firstLine="480" w:firstLineChars="200"/>
              <w:textAlignment w:val="auto"/>
              <w:rPr>
                <w:rFonts w:hint="eastAsia" w:cs="宋体"/>
                <w:b w:val="0"/>
                <w:bCs w:val="0"/>
                <w:spacing w:val="0"/>
                <w:sz w:val="24"/>
                <w:szCs w:val="24"/>
                <w:lang w:val="en-US" w:eastAsia="zh-CN" w:bidi="zh-CN"/>
              </w:rPr>
            </w:pPr>
            <w:r>
              <w:rPr>
                <w:rFonts w:hint="eastAsia" w:ascii="宋体" w:hAnsi="宋体" w:eastAsia="宋体" w:cs="宋体"/>
                <w:b w:val="0"/>
                <w:bCs w:val="0"/>
                <w:spacing w:val="0"/>
                <w:sz w:val="24"/>
                <w:szCs w:val="24"/>
                <w:lang w:val="en-US" w:eastAsia="zh-CN" w:bidi="zh-CN"/>
              </w:rPr>
              <w:t>工程概述</w:t>
            </w:r>
            <w:r>
              <w:rPr>
                <w:rFonts w:hint="eastAsia" w:cs="宋体"/>
                <w:b w:val="0"/>
                <w:bCs w:val="0"/>
                <w:spacing w:val="0"/>
                <w:sz w:val="24"/>
                <w:szCs w:val="24"/>
                <w:lang w:val="en-US" w:eastAsia="zh-CN" w:bidi="zh-CN"/>
              </w:rPr>
              <w:t>：</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leftChars="200" w:firstLine="480" w:firstLineChars="200"/>
              <w:jc w:val="left"/>
              <w:textAlignment w:val="auto"/>
              <w:rPr>
                <w:rFonts w:hint="eastAsia" w:ascii="宋体" w:hAnsi="宋体" w:eastAsia="宋体" w:cs="宋体"/>
                <w:b w:val="0"/>
                <w:bCs w:val="0"/>
                <w:spacing w:val="0"/>
                <w:kern w:val="0"/>
                <w:sz w:val="24"/>
                <w:szCs w:val="24"/>
                <w:lang w:val="en-US" w:eastAsia="zh-CN" w:bidi="zh-CN"/>
              </w:rPr>
            </w:pPr>
            <w:r>
              <w:rPr>
                <w:rFonts w:hint="eastAsia" w:ascii="宋体" w:hAnsi="宋体" w:eastAsia="宋体" w:cs="宋体"/>
                <w:b w:val="0"/>
                <w:bCs w:val="0"/>
                <w:spacing w:val="0"/>
                <w:kern w:val="0"/>
                <w:sz w:val="24"/>
                <w:szCs w:val="24"/>
                <w:lang w:val="en-US" w:eastAsia="zh-CN" w:bidi="zh-CN"/>
              </w:rPr>
              <w:t>为提升县城区城市品位，建设美丽宜居城市，同意实施新兴县越王湖公园景观改造提升工程（二期）</w:t>
            </w:r>
            <w:r>
              <w:rPr>
                <w:rFonts w:hint="eastAsia" w:cs="宋体"/>
                <w:b w:val="0"/>
                <w:bCs w:val="0"/>
                <w:spacing w:val="0"/>
                <w:kern w:val="0"/>
                <w:sz w:val="24"/>
                <w:szCs w:val="24"/>
                <w:lang w:val="en-US" w:eastAsia="zh-CN" w:bidi="zh-CN"/>
              </w:rPr>
              <w:t>，</w:t>
            </w:r>
            <w:r>
              <w:rPr>
                <w:rFonts w:hint="eastAsia" w:ascii="宋体" w:hAnsi="宋体" w:eastAsia="宋体" w:cs="宋体"/>
                <w:b w:val="0"/>
                <w:bCs w:val="0"/>
                <w:spacing w:val="0"/>
                <w:kern w:val="0"/>
                <w:sz w:val="24"/>
                <w:szCs w:val="24"/>
                <w:lang w:val="en-US" w:eastAsia="zh-CN" w:bidi="zh-CN"/>
              </w:rPr>
              <w:t>由新兴县公园广场管理服务中心实施建设</w:t>
            </w:r>
            <w:r>
              <w:rPr>
                <w:rFonts w:hint="eastAsia" w:ascii="宋体" w:hAnsi="宋体" w:eastAsia="宋体" w:cs="宋体"/>
                <w:b w:val="0"/>
                <w:bCs w:val="0"/>
                <w:spacing w:val="0"/>
                <w:sz w:val="24"/>
                <w:szCs w:val="24"/>
                <w:lang w:val="en-US" w:eastAsia="zh-CN" w:bidi="zh-CN"/>
              </w:rPr>
              <w:t>新兴县越王湖公园景观改造提升工程（二期）</w:t>
            </w:r>
            <w:r>
              <w:rPr>
                <w:rFonts w:hint="eastAsia" w:ascii="宋体" w:hAnsi="宋体" w:eastAsia="宋体" w:cs="宋体"/>
                <w:b w:val="0"/>
                <w:bCs w:val="0"/>
                <w:spacing w:val="0"/>
                <w:kern w:val="0"/>
                <w:sz w:val="24"/>
                <w:szCs w:val="24"/>
                <w:lang w:val="en-US" w:eastAsia="zh-CN" w:bidi="zh-CN"/>
              </w:rPr>
              <w:t>。</w:t>
            </w:r>
          </w:p>
          <w:p>
            <w:pPr>
              <w:pStyle w:val="8"/>
              <w:keepNext w:val="0"/>
              <w:keepLines w:val="0"/>
              <w:pageBreakBefore w:val="0"/>
              <w:widowControl/>
              <w:numPr>
                <w:ilvl w:val="0"/>
                <w:numId w:val="12"/>
              </w:numPr>
              <w:suppressLineNumbers w:val="0"/>
              <w:kinsoku/>
              <w:wordWrap/>
              <w:overflowPunct/>
              <w:topLinePunct w:val="0"/>
              <w:autoSpaceDE w:val="0"/>
              <w:autoSpaceDN w:val="0"/>
              <w:bidi w:val="0"/>
              <w:adjustRightInd/>
              <w:snapToGrid/>
              <w:spacing w:line="360" w:lineRule="auto"/>
              <w:ind w:firstLine="480" w:firstLineChars="200"/>
              <w:textAlignment w:val="auto"/>
              <w:rPr>
                <w:rFonts w:hint="eastAsia" w:cs="宋体"/>
                <w:b w:val="0"/>
                <w:bCs w:val="0"/>
                <w:spacing w:val="0"/>
                <w:sz w:val="24"/>
                <w:szCs w:val="24"/>
                <w:lang w:val="en-US" w:eastAsia="zh-CN" w:bidi="zh-CN"/>
              </w:rPr>
            </w:pPr>
            <w:r>
              <w:rPr>
                <w:rFonts w:hint="eastAsia" w:ascii="宋体" w:hAnsi="宋体" w:eastAsia="宋体" w:cs="宋体"/>
                <w:b w:val="0"/>
                <w:bCs w:val="0"/>
                <w:spacing w:val="0"/>
                <w:sz w:val="24"/>
                <w:szCs w:val="24"/>
                <w:lang w:val="en-US" w:eastAsia="zh-CN" w:bidi="zh-CN"/>
              </w:rPr>
              <w:t>项目主要建设内容及规模</w:t>
            </w:r>
            <w:r>
              <w:rPr>
                <w:rFonts w:hint="eastAsia" w:cs="宋体"/>
                <w:b w:val="0"/>
                <w:bCs w:val="0"/>
                <w:spacing w:val="0"/>
                <w:sz w:val="24"/>
                <w:szCs w:val="24"/>
                <w:lang w:val="en-US" w:eastAsia="zh-CN" w:bidi="zh-CN"/>
              </w:rPr>
              <w:t>：</w:t>
            </w:r>
          </w:p>
          <w:p>
            <w:pPr>
              <w:pStyle w:val="8"/>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200" w:right="0" w:rightChars="0" w:firstLine="480" w:firstLineChars="200"/>
              <w:textAlignment w:val="auto"/>
              <w:rPr>
                <w:rFonts w:hint="default" w:cs="宋体"/>
                <w:b w:val="0"/>
                <w:bCs w:val="0"/>
                <w:spacing w:val="0"/>
                <w:sz w:val="24"/>
                <w:szCs w:val="24"/>
                <w:lang w:val="en-US" w:eastAsia="zh-CN" w:bidi="zh-CN"/>
              </w:rPr>
            </w:pPr>
            <w:r>
              <w:rPr>
                <w:rFonts w:hint="eastAsia" w:cs="宋体"/>
                <w:b w:val="0"/>
                <w:bCs w:val="0"/>
                <w:spacing w:val="0"/>
                <w:sz w:val="24"/>
                <w:szCs w:val="24"/>
                <w:lang w:val="en-US" w:eastAsia="zh-CN" w:bidi="zh-CN"/>
              </w:rPr>
              <w:t>种植乔木类绿化树86株、灌木类绿化树66株、花卉及草皮2794平方米；建设停车场115平方米、透水混凝土地面656平方米、小道28平方米、五里亭1座及其他零星工程等。</w:t>
            </w:r>
          </w:p>
        </w:tc>
      </w:tr>
    </w:tbl>
    <w:p>
      <w:pPr>
        <w:rPr>
          <w:rFonts w:hint="eastAsia"/>
        </w:rPr>
      </w:pPr>
    </w:p>
    <w:sectPr>
      <w:footerReference r:id="rId5" w:type="default"/>
      <w:pgSz w:w="11910" w:h="16840"/>
      <w:pgMar w:top="474" w:right="567" w:bottom="1134" w:left="567" w:header="0" w:footer="89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b w:val="0"/>
        <w:sz w:val="20"/>
      </w:rPr>
    </w:pPr>
    <w:r>
      <mc:AlternateContent>
        <mc:Choice Requires="wps">
          <w:drawing>
            <wp:anchor distT="0" distB="0" distL="114300" distR="114300" simplePos="0" relativeHeight="251659264" behindDoc="1" locked="0" layoutInCell="1" allowOverlap="1">
              <wp:simplePos x="0" y="0"/>
              <wp:positionH relativeFrom="page">
                <wp:posOffset>3724910</wp:posOffset>
              </wp:positionH>
              <wp:positionV relativeFrom="page">
                <wp:posOffset>9935845</wp:posOffset>
              </wp:positionV>
              <wp:extent cx="403860" cy="18732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403860" cy="187325"/>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025" o:spid="_x0000_s1026" o:spt="202" type="#_x0000_t202" style="position:absolute;left:0pt;margin-left:293.3pt;margin-top:782.35pt;height:14.75pt;width:31.8pt;mso-position-horizontal-relative:page;mso-position-vertical-relative:page;z-index:-251657216;mso-width-relative:page;mso-height-relative:page;" filled="f" stroked="f" coordsize="21600,21600" o:gfxdata="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yhvWE2wAAAA0BAAAPAAAAAAAAAAEAIAAAACIAAABkcnMvZG93bnJldi54bWxQ&#10;SwECFAAUAAAACACHTuJAabNr67sBAAB0AwAADgAAAAAAAAABACAAAAAqAQAAZHJzL2Uyb0RvYy54&#10;bWxQSwUGAAAAAAYABgBZAQAAVw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CC545"/>
    <w:multiLevelType w:val="singleLevel"/>
    <w:tmpl w:val="817CC545"/>
    <w:lvl w:ilvl="0" w:tentative="0">
      <w:start w:val="1"/>
      <w:numFmt w:val="decimal"/>
      <w:lvlText w:val="%1."/>
      <w:lvlJc w:val="left"/>
      <w:pPr>
        <w:tabs>
          <w:tab w:val="left" w:pos="420"/>
        </w:tabs>
        <w:ind w:left="845" w:hanging="425"/>
      </w:pPr>
      <w:rPr>
        <w:rFonts w:hint="default"/>
      </w:rPr>
    </w:lvl>
  </w:abstractNum>
  <w:abstractNum w:abstractNumId="1">
    <w:nsid w:val="9D43A0FD"/>
    <w:multiLevelType w:val="singleLevel"/>
    <w:tmpl w:val="9D43A0FD"/>
    <w:lvl w:ilvl="0" w:tentative="0">
      <w:start w:val="1"/>
      <w:numFmt w:val="decimal"/>
      <w:suff w:val="nothing"/>
      <w:lvlText w:val="（%1）"/>
      <w:lvlJc w:val="left"/>
    </w:lvl>
  </w:abstractNum>
  <w:abstractNum w:abstractNumId="2">
    <w:nsid w:val="CCE8E5A6"/>
    <w:multiLevelType w:val="singleLevel"/>
    <w:tmpl w:val="CCE8E5A6"/>
    <w:lvl w:ilvl="0" w:tentative="0">
      <w:start w:val="1"/>
      <w:numFmt w:val="decimal"/>
      <w:lvlText w:val="%1)"/>
      <w:lvlJc w:val="left"/>
      <w:pPr>
        <w:tabs>
          <w:tab w:val="left" w:pos="420"/>
        </w:tabs>
        <w:ind w:left="845" w:hanging="425"/>
      </w:pPr>
      <w:rPr>
        <w:rFonts w:hint="default"/>
      </w:rPr>
    </w:lvl>
  </w:abstractNum>
  <w:abstractNum w:abstractNumId="3">
    <w:nsid w:val="E8508548"/>
    <w:multiLevelType w:val="singleLevel"/>
    <w:tmpl w:val="E8508548"/>
    <w:lvl w:ilvl="0" w:tentative="0">
      <w:start w:val="1"/>
      <w:numFmt w:val="decimal"/>
      <w:lvlText w:val="%1."/>
      <w:lvlJc w:val="left"/>
      <w:pPr>
        <w:tabs>
          <w:tab w:val="left" w:pos="840"/>
        </w:tabs>
        <w:ind w:left="1265" w:hanging="425"/>
      </w:pPr>
      <w:rPr>
        <w:rFonts w:hint="default"/>
      </w:rPr>
    </w:lvl>
  </w:abstractNum>
  <w:abstractNum w:abstractNumId="4">
    <w:nsid w:val="EAFDAF18"/>
    <w:multiLevelType w:val="singleLevel"/>
    <w:tmpl w:val="EAFDAF18"/>
    <w:lvl w:ilvl="0" w:tentative="0">
      <w:start w:val="1"/>
      <w:numFmt w:val="decimal"/>
      <w:suff w:val="nothing"/>
      <w:lvlText w:val="%1、"/>
      <w:lvlJc w:val="left"/>
    </w:lvl>
  </w:abstractNum>
  <w:abstractNum w:abstractNumId="5">
    <w:nsid w:val="2EA08708"/>
    <w:multiLevelType w:val="singleLevel"/>
    <w:tmpl w:val="2EA08708"/>
    <w:lvl w:ilvl="0" w:tentative="0">
      <w:start w:val="1"/>
      <w:numFmt w:val="decimal"/>
      <w:suff w:val="nothing"/>
      <w:lvlText w:val="%1、"/>
      <w:lvlJc w:val="left"/>
    </w:lvl>
  </w:abstractNum>
  <w:abstractNum w:abstractNumId="6">
    <w:nsid w:val="447FA7F5"/>
    <w:multiLevelType w:val="multilevel"/>
    <w:tmpl w:val="447FA7F5"/>
    <w:lvl w:ilvl="0" w:tentative="0">
      <w:start w:val="1"/>
      <w:numFmt w:val="decimal"/>
      <w:lvlText w:val="%1."/>
      <w:lvlJc w:val="left"/>
      <w:pPr>
        <w:tabs>
          <w:tab w:val="left" w:pos="420"/>
        </w:tabs>
        <w:ind w:left="845" w:hanging="425"/>
      </w:pPr>
      <w:rPr>
        <w:rFonts w:hint="default"/>
      </w:rPr>
    </w:lvl>
    <w:lvl w:ilvl="1" w:tentative="0">
      <w:start w:val="1"/>
      <w:numFmt w:val="decimal"/>
      <w:lvlText w:val="(%2)"/>
      <w:lvlJc w:val="left"/>
      <w:pPr>
        <w:tabs>
          <w:tab w:val="left" w:pos="840"/>
        </w:tabs>
        <w:ind w:left="1260" w:leftChars="0" w:hanging="420" w:firstLineChars="0"/>
      </w:pPr>
      <w:rPr>
        <w:rFonts w:hint="default"/>
      </w:rPr>
    </w:lvl>
    <w:lvl w:ilvl="2" w:tentative="0">
      <w:start w:val="1"/>
      <w:numFmt w:val="decimalEnclosedCircleChinese"/>
      <w:lvlText w:val="%3"/>
      <w:lvlJc w:val="left"/>
      <w:pPr>
        <w:tabs>
          <w:tab w:val="left" w:pos="1260"/>
        </w:tabs>
        <w:ind w:left="1680" w:leftChars="0" w:hanging="420" w:firstLineChars="0"/>
      </w:pPr>
      <w:rPr>
        <w:rFonts w:hint="default"/>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Letter"/>
      <w:lvlText w:val="%6)"/>
      <w:lvlJc w:val="left"/>
      <w:pPr>
        <w:tabs>
          <w:tab w:val="left" w:pos="2520"/>
        </w:tabs>
        <w:ind w:left="2940" w:leftChars="0" w:hanging="420" w:firstLineChars="0"/>
      </w:pPr>
      <w:rPr>
        <w:rFonts w:hint="default"/>
      </w:rPr>
    </w:lvl>
    <w:lvl w:ilvl="6" w:tentative="0">
      <w:start w:val="1"/>
      <w:numFmt w:val="lowerRoman"/>
      <w:lvlText w:val="%7."/>
      <w:lvlJc w:val="left"/>
      <w:pPr>
        <w:tabs>
          <w:tab w:val="left" w:pos="2940"/>
        </w:tabs>
        <w:ind w:left="3360" w:leftChars="0" w:hanging="420" w:firstLineChars="0"/>
      </w:pPr>
      <w:rPr>
        <w:rFonts w:hint="default"/>
      </w:rPr>
    </w:lvl>
    <w:lvl w:ilvl="7" w:tentative="0">
      <w:start w:val="1"/>
      <w:numFmt w:val="lowerRoman"/>
      <w:lvlText w:val="%8)"/>
      <w:lvlJc w:val="left"/>
      <w:pPr>
        <w:tabs>
          <w:tab w:val="left" w:pos="3360"/>
        </w:tabs>
        <w:ind w:left="3780" w:leftChars="0" w:hanging="420" w:firstLineChars="0"/>
      </w:pPr>
      <w:rPr>
        <w:rFonts w:hint="default"/>
      </w:rPr>
    </w:lvl>
    <w:lvl w:ilvl="8" w:tentative="0">
      <w:start w:val="1"/>
      <w:numFmt w:val="lowerLetter"/>
      <w:lvlText w:val="%9."/>
      <w:lvlJc w:val="left"/>
      <w:pPr>
        <w:tabs>
          <w:tab w:val="left" w:pos="3780"/>
        </w:tabs>
        <w:ind w:left="4200" w:leftChars="0" w:hanging="420" w:firstLineChars="0"/>
      </w:pPr>
      <w:rPr>
        <w:rFonts w:hint="default"/>
      </w:rPr>
    </w:lvl>
  </w:abstractNum>
  <w:abstractNum w:abstractNumId="7">
    <w:nsid w:val="5CB12905"/>
    <w:multiLevelType w:val="singleLevel"/>
    <w:tmpl w:val="5CB12905"/>
    <w:lvl w:ilvl="0" w:tentative="0">
      <w:start w:val="1"/>
      <w:numFmt w:val="decimal"/>
      <w:suff w:val="nothing"/>
      <w:lvlText w:val="%1、"/>
      <w:lvlJc w:val="left"/>
    </w:lvl>
  </w:abstractNum>
  <w:abstractNum w:abstractNumId="8">
    <w:nsid w:val="6BBA9134"/>
    <w:multiLevelType w:val="singleLevel"/>
    <w:tmpl w:val="6BBA9134"/>
    <w:lvl w:ilvl="0" w:tentative="0">
      <w:start w:val="1"/>
      <w:numFmt w:val="decimal"/>
      <w:suff w:val="nothing"/>
      <w:lvlText w:val="%1、"/>
      <w:lvlJc w:val="left"/>
    </w:lvl>
  </w:abstractNum>
  <w:abstractNum w:abstractNumId="9">
    <w:nsid w:val="72DA93C9"/>
    <w:multiLevelType w:val="singleLevel"/>
    <w:tmpl w:val="72DA93C9"/>
    <w:lvl w:ilvl="0" w:tentative="0">
      <w:start w:val="1"/>
      <w:numFmt w:val="decimal"/>
      <w:suff w:val="nothing"/>
      <w:lvlText w:val="%1、"/>
      <w:lvlJc w:val="left"/>
    </w:lvl>
  </w:abstractNum>
  <w:abstractNum w:abstractNumId="10">
    <w:nsid w:val="7B73BFB9"/>
    <w:multiLevelType w:val="singleLevel"/>
    <w:tmpl w:val="7B73BFB9"/>
    <w:lvl w:ilvl="0" w:tentative="0">
      <w:start w:val="1"/>
      <w:numFmt w:val="decimal"/>
      <w:lvlText w:val="%1)"/>
      <w:lvlJc w:val="left"/>
      <w:pPr>
        <w:tabs>
          <w:tab w:val="left" w:pos="420"/>
        </w:tabs>
        <w:ind w:left="845" w:hanging="425"/>
      </w:pPr>
      <w:rPr>
        <w:rFonts w:hint="default"/>
      </w:rPr>
    </w:lvl>
  </w:abstractNum>
  <w:abstractNum w:abstractNumId="11">
    <w:nsid w:val="7F7DD466"/>
    <w:multiLevelType w:val="singleLevel"/>
    <w:tmpl w:val="7F7DD466"/>
    <w:lvl w:ilvl="0" w:tentative="0">
      <w:start w:val="1"/>
      <w:numFmt w:val="decimal"/>
      <w:lvlText w:val="%1."/>
      <w:lvlJc w:val="left"/>
      <w:pPr>
        <w:tabs>
          <w:tab w:val="left" w:pos="420"/>
        </w:tabs>
        <w:ind w:left="845" w:hanging="425"/>
      </w:pPr>
      <w:rPr>
        <w:rFonts w:hint="default"/>
      </w:rPr>
    </w:lvl>
  </w:abstractNum>
  <w:num w:numId="1">
    <w:abstractNumId w:val="0"/>
  </w:num>
  <w:num w:numId="2">
    <w:abstractNumId w:val="10"/>
  </w:num>
  <w:num w:numId="3">
    <w:abstractNumId w:val="2"/>
  </w:num>
  <w:num w:numId="4">
    <w:abstractNumId w:val="5"/>
  </w:num>
  <w:num w:numId="5">
    <w:abstractNumId w:val="4"/>
  </w:num>
  <w:num w:numId="6">
    <w:abstractNumId w:val="1"/>
  </w:num>
  <w:num w:numId="7">
    <w:abstractNumId w:val="8"/>
  </w:num>
  <w:num w:numId="8">
    <w:abstractNumId w:val="7"/>
  </w:num>
  <w:num w:numId="9">
    <w:abstractNumId w:val="11"/>
  </w:num>
  <w:num w:numId="10">
    <w:abstractNumId w:val="6"/>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D6058"/>
    <w:rsid w:val="00E71FAB"/>
    <w:rsid w:val="01682EC9"/>
    <w:rsid w:val="04525202"/>
    <w:rsid w:val="04781A8C"/>
    <w:rsid w:val="04C16FA5"/>
    <w:rsid w:val="050A730C"/>
    <w:rsid w:val="05AC0BE4"/>
    <w:rsid w:val="05C46585"/>
    <w:rsid w:val="078F6B82"/>
    <w:rsid w:val="07EC2C65"/>
    <w:rsid w:val="08FD64BE"/>
    <w:rsid w:val="098D6C26"/>
    <w:rsid w:val="09B370B6"/>
    <w:rsid w:val="0A704A3C"/>
    <w:rsid w:val="0C412E8C"/>
    <w:rsid w:val="0CA26282"/>
    <w:rsid w:val="0E001B6A"/>
    <w:rsid w:val="0E2E7435"/>
    <w:rsid w:val="0E641A68"/>
    <w:rsid w:val="0F536807"/>
    <w:rsid w:val="10C86CC9"/>
    <w:rsid w:val="10D005C7"/>
    <w:rsid w:val="10E96CB6"/>
    <w:rsid w:val="14105760"/>
    <w:rsid w:val="14901A49"/>
    <w:rsid w:val="14DD538E"/>
    <w:rsid w:val="15A304FC"/>
    <w:rsid w:val="172106BE"/>
    <w:rsid w:val="173F7FBA"/>
    <w:rsid w:val="18DA3AF5"/>
    <w:rsid w:val="18ED1F36"/>
    <w:rsid w:val="1ACA55E5"/>
    <w:rsid w:val="1B965E81"/>
    <w:rsid w:val="1BB52A4E"/>
    <w:rsid w:val="1C177242"/>
    <w:rsid w:val="1C234203"/>
    <w:rsid w:val="1C64054E"/>
    <w:rsid w:val="1D2D10A5"/>
    <w:rsid w:val="1D437C92"/>
    <w:rsid w:val="1D73196C"/>
    <w:rsid w:val="20526A4E"/>
    <w:rsid w:val="20F91DB7"/>
    <w:rsid w:val="226A2E83"/>
    <w:rsid w:val="23B30402"/>
    <w:rsid w:val="24432F3C"/>
    <w:rsid w:val="25B41F58"/>
    <w:rsid w:val="25EE11E5"/>
    <w:rsid w:val="26A32EAE"/>
    <w:rsid w:val="27A26FDA"/>
    <w:rsid w:val="27B62482"/>
    <w:rsid w:val="282428F5"/>
    <w:rsid w:val="28350732"/>
    <w:rsid w:val="29B6438A"/>
    <w:rsid w:val="2A5B2546"/>
    <w:rsid w:val="2A5C329C"/>
    <w:rsid w:val="2A77474C"/>
    <w:rsid w:val="2AFB2629"/>
    <w:rsid w:val="2BD16607"/>
    <w:rsid w:val="2C674691"/>
    <w:rsid w:val="2D7D6DD9"/>
    <w:rsid w:val="2E1579A5"/>
    <w:rsid w:val="2E36037D"/>
    <w:rsid w:val="2EF8369B"/>
    <w:rsid w:val="30C91943"/>
    <w:rsid w:val="31E2795E"/>
    <w:rsid w:val="336623C3"/>
    <w:rsid w:val="33D46705"/>
    <w:rsid w:val="346658AC"/>
    <w:rsid w:val="34F06CCF"/>
    <w:rsid w:val="35176265"/>
    <w:rsid w:val="36234E73"/>
    <w:rsid w:val="367C3834"/>
    <w:rsid w:val="36BC5A2F"/>
    <w:rsid w:val="37802931"/>
    <w:rsid w:val="38114B33"/>
    <w:rsid w:val="38AD0108"/>
    <w:rsid w:val="38D136FA"/>
    <w:rsid w:val="390030B3"/>
    <w:rsid w:val="393566C3"/>
    <w:rsid w:val="39D828A6"/>
    <w:rsid w:val="3BDC5C28"/>
    <w:rsid w:val="3C1C52C1"/>
    <w:rsid w:val="3D6579F4"/>
    <w:rsid w:val="3E1742C5"/>
    <w:rsid w:val="3E501E16"/>
    <w:rsid w:val="3FFA300B"/>
    <w:rsid w:val="400F6A0B"/>
    <w:rsid w:val="403C7F0E"/>
    <w:rsid w:val="409334B2"/>
    <w:rsid w:val="40E606D3"/>
    <w:rsid w:val="42A123F0"/>
    <w:rsid w:val="42AD7C07"/>
    <w:rsid w:val="43C53228"/>
    <w:rsid w:val="443741FF"/>
    <w:rsid w:val="44663FF8"/>
    <w:rsid w:val="44F05A0A"/>
    <w:rsid w:val="4526223F"/>
    <w:rsid w:val="477110BB"/>
    <w:rsid w:val="48C27F92"/>
    <w:rsid w:val="49F41AD3"/>
    <w:rsid w:val="4A5F5637"/>
    <w:rsid w:val="4A945F1F"/>
    <w:rsid w:val="4B06034C"/>
    <w:rsid w:val="4B160F43"/>
    <w:rsid w:val="4BB57658"/>
    <w:rsid w:val="4C410049"/>
    <w:rsid w:val="4C4E016E"/>
    <w:rsid w:val="4D066278"/>
    <w:rsid w:val="4EB83B41"/>
    <w:rsid w:val="4EC06774"/>
    <w:rsid w:val="4ED16557"/>
    <w:rsid w:val="502C4D08"/>
    <w:rsid w:val="502D5496"/>
    <w:rsid w:val="50642410"/>
    <w:rsid w:val="519B652D"/>
    <w:rsid w:val="521F44B0"/>
    <w:rsid w:val="52F26847"/>
    <w:rsid w:val="55E969CC"/>
    <w:rsid w:val="57732218"/>
    <w:rsid w:val="57801A81"/>
    <w:rsid w:val="57EF515F"/>
    <w:rsid w:val="58B772F1"/>
    <w:rsid w:val="59626903"/>
    <w:rsid w:val="5A027D23"/>
    <w:rsid w:val="5A72737C"/>
    <w:rsid w:val="5A8B43BA"/>
    <w:rsid w:val="5AE9073F"/>
    <w:rsid w:val="5B1D3341"/>
    <w:rsid w:val="5BD06125"/>
    <w:rsid w:val="5BFB1E7B"/>
    <w:rsid w:val="5CF74D38"/>
    <w:rsid w:val="5F9E4190"/>
    <w:rsid w:val="603D095A"/>
    <w:rsid w:val="616636A1"/>
    <w:rsid w:val="61A42232"/>
    <w:rsid w:val="625F1610"/>
    <w:rsid w:val="62F61D0A"/>
    <w:rsid w:val="632D1A8B"/>
    <w:rsid w:val="63566A94"/>
    <w:rsid w:val="65510FAE"/>
    <w:rsid w:val="665B7209"/>
    <w:rsid w:val="66BA660E"/>
    <w:rsid w:val="67474568"/>
    <w:rsid w:val="6C8D4BBD"/>
    <w:rsid w:val="6D885CF4"/>
    <w:rsid w:val="6E095596"/>
    <w:rsid w:val="6E563E41"/>
    <w:rsid w:val="6FED0586"/>
    <w:rsid w:val="70E57BF6"/>
    <w:rsid w:val="71DD0837"/>
    <w:rsid w:val="71F93B97"/>
    <w:rsid w:val="72C51504"/>
    <w:rsid w:val="73134824"/>
    <w:rsid w:val="74161F12"/>
    <w:rsid w:val="75386A21"/>
    <w:rsid w:val="757C3748"/>
    <w:rsid w:val="758A2FB1"/>
    <w:rsid w:val="75AE4323"/>
    <w:rsid w:val="75C568DB"/>
    <w:rsid w:val="766655B9"/>
    <w:rsid w:val="775B1DA3"/>
    <w:rsid w:val="77EC1D74"/>
    <w:rsid w:val="782D7F48"/>
    <w:rsid w:val="79607552"/>
    <w:rsid w:val="796A3022"/>
    <w:rsid w:val="79C90486"/>
    <w:rsid w:val="7A751C62"/>
    <w:rsid w:val="7BAB25DA"/>
    <w:rsid w:val="7CE75A0B"/>
    <w:rsid w:val="7DDA7DEF"/>
    <w:rsid w:val="7EFA11F1"/>
    <w:rsid w:val="7F0E0932"/>
    <w:rsid w:val="7F650A13"/>
    <w:rsid w:val="7FE825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12">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Chars="0" w:firstLine="420"/>
    </w:pPr>
    <w:rPr>
      <w:rFonts w:ascii="Times New Roman" w:hAnsi="Times New Roman" w:cs="Times New Roman"/>
    </w:rPr>
  </w:style>
  <w:style w:type="paragraph" w:styleId="3">
    <w:name w:val="Body Text Indent"/>
    <w:basedOn w:val="1"/>
    <w:next w:val="4"/>
    <w:qFormat/>
    <w:uiPriority w:val="0"/>
    <w:pPr>
      <w:spacing w:after="120"/>
      <w:ind w:left="420" w:leftChars="200"/>
      <w:jc w:val="both"/>
    </w:pPr>
    <w:rPr>
      <w:rFonts w:ascii="Calibri" w:hAnsi="Calibri" w:eastAsia="宋体" w:cs="Times New Roman"/>
      <w:kern w:val="2"/>
      <w:sz w:val="21"/>
      <w:szCs w:val="24"/>
      <w:lang w:eastAsia="zh-CN"/>
    </w:rPr>
  </w:style>
  <w:style w:type="paragraph" w:styleId="4">
    <w:name w:val="envelope return"/>
    <w:basedOn w:val="1"/>
    <w:qFormat/>
    <w:uiPriority w:val="0"/>
    <w:pPr>
      <w:adjustRightInd w:val="0"/>
      <w:snapToGrid w:val="0"/>
      <w:spacing w:line="360" w:lineRule="atLeast"/>
      <w:ind w:firstLine="640" w:firstLineChars="200"/>
    </w:pPr>
    <w:rPr>
      <w:rFonts w:ascii="Arial" w:hAnsi="Arial"/>
    </w:rPr>
  </w:style>
  <w:style w:type="paragraph" w:styleId="5">
    <w:name w:val="Body Text"/>
    <w:basedOn w:val="1"/>
    <w:qFormat/>
    <w:uiPriority w:val="1"/>
    <w:rPr>
      <w:rFonts w:ascii="宋体" w:hAnsi="宋体" w:eastAsia="宋体" w:cs="宋体"/>
      <w:b/>
      <w:bCs/>
      <w:sz w:val="44"/>
      <w:szCs w:val="44"/>
      <w:lang w:val="zh-CN" w:eastAsia="zh-CN" w:bidi="zh-CN"/>
    </w:rPr>
  </w:style>
  <w:style w:type="paragraph" w:styleId="6">
    <w:name w:val="Body Text Indent 2"/>
    <w:basedOn w:val="1"/>
    <w:next w:val="1"/>
    <w:qFormat/>
    <w:uiPriority w:val="99"/>
    <w:pPr>
      <w:spacing w:after="120" w:line="480" w:lineRule="auto"/>
      <w:ind w:left="420" w:leftChars="200"/>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rPr>
      <w:lang w:val="zh-CN" w:eastAsia="zh-CN" w:bidi="zh-CN"/>
    </w:rPr>
  </w:style>
  <w:style w:type="paragraph" w:customStyle="1" w:styleId="1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ScaleCrop>false</ScaleCrop>
  <LinksUpToDate>false</LinksUpToDate>
  <Application>WPS Office_11.1.0.11220_F1E327BC-269C-435d-A152-05C5408002CA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2020-07-30T01:50:00Z</dcterms:created>
  <dc:creator>狂奔的蚂蚁</dc:creator>
  <cp:lastModifiedBy>NTKO</cp:lastModifiedBy>
  <cp:lastPrinted>2021-10-29T10:51:00Z</cp:lastPrinted>
  <dcterms:modified xsi:type="dcterms:W3CDTF">2022-04-20T08:06:06Z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2020-07-02T00:00:00Z</vt:filetime>
  </property>
  <property fmtid="{D5CDD505-2E9C-101B-9397-08002B2CF9AE}" pid="3" name="Creator">
    <vt:lpwstr>WPS 文字</vt:lpwstr>
  </property>
  <property fmtid="{D5CDD505-2E9C-101B-9397-08002B2CF9AE}" pid="4" name="LastSaved">
    <vt:filetime>2020-07-30T00:00:00Z</vt:filetime>
  </property>
  <property fmtid="{D5CDD505-2E9C-101B-9397-08002B2CF9AE}" pid="5" name="KSOProductBuildVer">
    <vt:lpwstr>2052-11.1.0.11220</vt:lpwstr>
  </property>
  <property fmtid="{D5CDD505-2E9C-101B-9397-08002B2CF9AE}" pid="6" name="ICV">
    <vt:lpwstr>AF22C7C0710545D48388F7AC6C1E2808</vt:lpwstr>
  </property>
</Properties>
</file>