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56"/>
          <w:szCs w:val="56"/>
          <w:highlight w:val="none"/>
          <w:lang w:eastAsia="zh-CN"/>
        </w:rPr>
      </w:pPr>
      <w:r>
        <w:rPr>
          <w:rFonts w:hint="eastAsia" w:ascii="仿宋" w:hAnsi="仿宋" w:eastAsia="仿宋" w:cs="仿宋"/>
          <w:b/>
          <w:bCs/>
          <w:spacing w:val="-6"/>
          <w:sz w:val="56"/>
          <w:szCs w:val="56"/>
          <w:highlight w:val="none"/>
          <w:lang w:eastAsia="zh-CN"/>
        </w:rPr>
        <w:t>新兴县中医院药事管理系统采购项目</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rcRect t="5623" b="24221"/>
                    <a:stretch>
                      <a:fillRect/>
                    </a:stretch>
                  </pic:blipFill>
                  <pic:spPr>
                    <a:xfrm>
                      <a:off x="0" y="0"/>
                      <a:ext cx="2202180" cy="1544955"/>
                    </a:xfrm>
                    <a:prstGeom prst="rect">
                      <a:avLst/>
                    </a:prstGeom>
                  </pic:spPr>
                </pic:pic>
              </a:graphicData>
            </a:graphic>
          </wp:inline>
        </w:drawing>
      </w:r>
    </w:p>
    <w:p>
      <w:pPr>
        <w:pStyle w:val="2"/>
        <w:rPr>
          <w:rFonts w:hint="eastAsia" w:ascii="仿宋" w:hAnsi="仿宋" w:eastAsia="仿宋" w:cs="仿宋"/>
          <w:b/>
          <w:sz w:val="20"/>
        </w:rPr>
      </w:pPr>
    </w:p>
    <w:p>
      <w:pPr>
        <w:pStyle w:val="2"/>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2"/>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项目名称：云浮市云硫小学东方校区二期建设工程项目监理服务"/>
      <w:bookmarkEnd w:id="1"/>
      <w:bookmarkStart w:id="2" w:name="采购项目编号：445302-202007-111001-0017"/>
      <w:bookmarkEnd w:id="2"/>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GDZZ-2023-06-01</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采购单位：新兴县中医院</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三</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六</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headerReference r:id="rId5" w:type="first"/>
          <w:footerReference r:id="rId7" w:type="first"/>
          <w:footerReference r:id="rId6"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2"/>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2"/>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2"/>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8" w:type="default"/>
          <w:footerReference r:id="rId9"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2"/>
            <w:rPr>
              <w:rFonts w:hint="eastAsia" w:ascii="仿宋" w:hAnsi="仿宋" w:eastAsia="仿宋" w:cs="仿宋"/>
            </w:rPr>
          </w:pPr>
        </w:p>
        <w:p>
          <w:pPr>
            <w:pStyle w:val="18"/>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37</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43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52"/>
              <w:szCs w:val="52"/>
            </w:rPr>
          </w:pPr>
        </w:p>
        <w:p>
          <w:pPr>
            <w:pStyle w:val="2"/>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2"/>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4"/>
        <w:rPr>
          <w:rFonts w:hint="eastAsia" w:ascii="仿宋" w:hAnsi="仿宋" w:eastAsia="仿宋" w:cs="仿宋"/>
          <w:lang w:val="zh-CN" w:eastAsia="zh-CN"/>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11"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6"/>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受新兴县中医院的委托，对新兴县中医院药事管理系统采购项目（项目编号：GDZZ-2023-06-01）进行竞争性谈判采购，欢迎符合资格条件的供应商参加。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项目编号：GDZZ-2023-06-01</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新兴县中医院药事管理系统采购项目</w:t>
      </w:r>
    </w:p>
    <w:p>
      <w:pPr>
        <w:pStyle w:val="9"/>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b/>
          <w:bCs/>
          <w:sz w:val="21"/>
          <w:szCs w:val="21"/>
          <w:highlight w:val="none"/>
          <w:lang w:val="en-US" w:eastAsia="zh-CN" w:bidi="zh-CN"/>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eastAsia" w:ascii="仿宋" w:hAnsi="仿宋" w:eastAsia="仿宋" w:cs="仿宋"/>
          <w:b/>
          <w:bCs/>
          <w:sz w:val="21"/>
          <w:szCs w:val="21"/>
          <w:highlight w:val="none"/>
          <w:lang w:val="en-US" w:eastAsia="zh-CN" w:bidi="zh-CN"/>
        </w:rPr>
        <w:t>650,000.00元</w:t>
      </w:r>
    </w:p>
    <w:p>
      <w:pPr>
        <w:pStyle w:val="9"/>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suppressLineNumbers w:val="0"/>
        <w:spacing w:line="360" w:lineRule="auto"/>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w:t>
      </w:r>
      <w:r>
        <w:rPr>
          <w:rFonts w:hint="eastAsia" w:ascii="仿宋" w:hAnsi="仿宋" w:eastAsia="仿宋" w:cs="仿宋"/>
          <w:spacing w:val="0"/>
          <w:w w:val="100"/>
          <w:sz w:val="21"/>
          <w:szCs w:val="21"/>
          <w:lang w:val="en-US" w:eastAsia="zh-CN"/>
        </w:rPr>
        <w:t>【</w:t>
      </w:r>
      <w:r>
        <w:rPr>
          <w:rFonts w:hint="eastAsia" w:ascii="仿宋" w:hAnsi="仿宋" w:eastAsia="仿宋" w:cs="仿宋"/>
          <w:b w:val="0"/>
          <w:bCs/>
          <w:color w:val="000000"/>
          <w:kern w:val="28"/>
          <w:sz w:val="21"/>
          <w:szCs w:val="20"/>
          <w:highlight w:val="none"/>
          <w:lang w:val="en-US" w:eastAsia="zh-CN" w:bidi="ar-SA"/>
        </w:rPr>
        <w:t>在中华人民共和国境内注册的法人或其他组织，提供有效营业执照（或事业单位法人证书）副本复印件，如非“多证合一</w:t>
      </w:r>
      <w:r>
        <w:rPr>
          <w:rFonts w:hint="default" w:ascii="仿宋" w:hAnsi="仿宋" w:eastAsia="仿宋" w:cs="仿宋"/>
          <w:b w:val="0"/>
          <w:bCs/>
          <w:color w:val="000000"/>
          <w:kern w:val="28"/>
          <w:sz w:val="21"/>
          <w:szCs w:val="20"/>
          <w:highlight w:val="none"/>
          <w:lang w:val="en-US" w:eastAsia="zh-CN" w:bidi="ar-SA"/>
        </w:rPr>
        <w:t>”</w:t>
      </w:r>
      <w:r>
        <w:rPr>
          <w:rFonts w:hint="eastAsia" w:ascii="仿宋" w:hAnsi="仿宋" w:eastAsia="仿宋" w:cs="仿宋"/>
          <w:b w:val="0"/>
          <w:bCs/>
          <w:color w:val="000000"/>
          <w:kern w:val="28"/>
          <w:sz w:val="21"/>
          <w:szCs w:val="20"/>
          <w:highlight w:val="none"/>
          <w:lang w:val="en-US" w:eastAsia="zh-CN" w:bidi="ar-SA"/>
        </w:rPr>
        <w:t>证照的还须同时提供组织机构代码证和税务登记证副本复印件。</w:t>
      </w:r>
      <w:r>
        <w:rPr>
          <w:rFonts w:hint="eastAsia" w:ascii="仿宋" w:hAnsi="仿宋" w:eastAsia="仿宋" w:cs="仿宋"/>
          <w:spacing w:val="0"/>
          <w:w w:val="100"/>
          <w:sz w:val="21"/>
          <w:szCs w:val="21"/>
          <w:lang w:val="en-US" w:eastAsia="zh-CN"/>
        </w:rPr>
        <w:t>】</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（3）有依法缴纳税收证明和社会保障资金的良好记录；</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（4）参加采购活动前3年内，在经营活动中没有重大违法记录；</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（5）具有履行合同所必需的设备和专业技术能力；【</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（6）供应商必须符合法律、行政法规规定的其他条件。</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落实政府采购政策需满足的资格要求：</w:t>
      </w:r>
    </w:p>
    <w:p>
      <w:pPr>
        <w:keepNext w:val="0"/>
        <w:keepLines w:val="0"/>
        <w:widowControl/>
        <w:numPr>
          <w:ilvl w:val="0"/>
          <w:numId w:val="4"/>
        </w:numPr>
        <w:suppressLineNumbers w:val="0"/>
        <w:spacing w:line="360" w:lineRule="auto"/>
        <w:ind w:left="425" w:lef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本项目为专门面向中小企业采购的项目，响应供应商须符合</w:t>
      </w:r>
      <w:r>
        <w:rPr>
          <w:rFonts w:hint="eastAsia" w:ascii="仿宋" w:hAnsi="仿宋" w:eastAsia="仿宋" w:cs="仿宋"/>
          <w:b/>
          <w:bCs w:val="0"/>
          <w:sz w:val="21"/>
          <w:szCs w:val="21"/>
          <w:highlight w:val="none"/>
          <w:lang w:val="en-US" w:eastAsia="zh-CN" w:bidi="zh-CN"/>
        </w:rPr>
        <w:t>软件和信息技术服务业</w:t>
      </w:r>
      <w:r>
        <w:rPr>
          <w:rFonts w:hint="eastAsia" w:ascii="仿宋" w:hAnsi="仿宋" w:eastAsia="仿宋" w:cs="仿宋"/>
          <w:b w:val="0"/>
          <w:bCs/>
          <w:color w:val="000000"/>
          <w:kern w:val="28"/>
          <w:sz w:val="21"/>
          <w:szCs w:val="20"/>
          <w:highlight w:val="none"/>
          <w:lang w:val="en-US" w:eastAsia="zh-CN" w:bidi="ar-SA"/>
        </w:rPr>
        <w:t>的中小企业划分标准。【提供中小企业声明函】</w:t>
      </w:r>
    </w:p>
    <w:p>
      <w:pPr>
        <w:keepNext w:val="0"/>
        <w:keepLines w:val="0"/>
        <w:widowControl/>
        <w:numPr>
          <w:ilvl w:val="0"/>
          <w:numId w:val="3"/>
        </w:numPr>
        <w:suppressLineNumbers w:val="0"/>
        <w:spacing w:line="360" w:lineRule="auto"/>
        <w:ind w:left="425" w:leftChars="0" w:right="0" w:rightChars="0" w:hanging="425" w:firstLineChars="0"/>
        <w:jc w:val="left"/>
        <w:rPr>
          <w:rFonts w:hint="default"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本项目特定的资格要求：</w:t>
      </w:r>
    </w:p>
    <w:p>
      <w:pPr>
        <w:pStyle w:val="2"/>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2"/>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响应供应商必须是在中华人民共和国境内注册的独立法人或其他组织，具有从事本项目的技术服务能力；</w:t>
      </w:r>
      <w:r>
        <w:rPr>
          <w:rFonts w:hint="eastAsia" w:ascii="仿宋" w:hAnsi="仿宋" w:eastAsia="仿宋" w:cs="仿宋"/>
          <w:spacing w:val="0"/>
          <w:w w:val="100"/>
          <w:sz w:val="21"/>
          <w:szCs w:val="21"/>
          <w:lang w:val="en-US" w:eastAsia="zh-CN"/>
        </w:rPr>
        <w:t>【提供承诺函】</w:t>
      </w:r>
    </w:p>
    <w:p>
      <w:pPr>
        <w:pStyle w:val="2"/>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w w:val="100"/>
          <w:sz w:val="21"/>
          <w:szCs w:val="21"/>
          <w:lang w:val="en-US" w:eastAsia="zh-CN"/>
        </w:rPr>
        <w:t>【提供承诺函】</w:t>
      </w:r>
    </w:p>
    <w:p>
      <w:pPr>
        <w:pStyle w:val="2"/>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本项目不接受联合体投标，不允许响应供应商对本采购项目进行分包和转包；</w:t>
      </w:r>
      <w:r>
        <w:rPr>
          <w:rFonts w:hint="eastAsia" w:ascii="仿宋" w:hAnsi="仿宋" w:eastAsia="仿宋" w:cs="仿宋"/>
          <w:spacing w:val="0"/>
          <w:w w:val="100"/>
          <w:sz w:val="21"/>
          <w:szCs w:val="21"/>
          <w:lang w:val="en-US" w:eastAsia="zh-CN"/>
        </w:rPr>
        <w:t>【提供承诺函】</w:t>
      </w:r>
    </w:p>
    <w:p>
      <w:pPr>
        <w:pStyle w:val="2"/>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响应供应商须对全部内容进行响应，不得分拆；</w:t>
      </w:r>
      <w:r>
        <w:rPr>
          <w:rFonts w:hint="eastAsia" w:ascii="仿宋" w:hAnsi="仿宋" w:eastAsia="仿宋" w:cs="仿宋"/>
          <w:spacing w:val="0"/>
          <w:w w:val="100"/>
          <w:sz w:val="21"/>
          <w:szCs w:val="21"/>
          <w:lang w:val="en-US" w:eastAsia="zh-CN"/>
        </w:rPr>
        <w:t>【提供承诺函】</w:t>
      </w:r>
    </w:p>
    <w:p>
      <w:pPr>
        <w:pStyle w:val="2"/>
        <w:numPr>
          <w:ilvl w:val="0"/>
          <w:numId w:val="5"/>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按规定获取本项目采购文件的。</w:t>
      </w:r>
      <w:r>
        <w:rPr>
          <w:rFonts w:hint="eastAsia" w:ascii="仿宋" w:hAnsi="仿宋" w:eastAsia="仿宋" w:cs="仿宋"/>
          <w:spacing w:val="0"/>
          <w:w w:val="100"/>
          <w:sz w:val="21"/>
          <w:szCs w:val="21"/>
          <w:lang w:val="en-US" w:eastAsia="zh-CN"/>
        </w:rPr>
        <w:t>【提供承诺函】</w:t>
      </w:r>
    </w:p>
    <w:p>
      <w:pPr>
        <w:pStyle w:val="2"/>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highlight w:val="none"/>
        </w:rPr>
      </w:pPr>
      <w:r>
        <w:rPr>
          <w:rFonts w:hint="eastAsia" w:ascii="仿宋" w:hAnsi="仿宋" w:eastAsia="仿宋" w:cs="仿宋"/>
          <w:b/>
          <w:sz w:val="21"/>
          <w:highlight w:val="none"/>
        </w:rPr>
        <w:t>六、获取谈判文件方式：现场报名购买，不予邮寄</w:t>
      </w:r>
    </w:p>
    <w:p>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2023</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6</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2023</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6</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13</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pacing w:val="0"/>
          <w:kern w:val="28"/>
          <w:sz w:val="21"/>
          <w:szCs w:val="21"/>
          <w:highlight w:val="none"/>
          <w:lang w:val="en-US" w:eastAsia="zh-CN"/>
        </w:rPr>
        <w:t>获取</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新兴县新城镇升平路55号翔顺筠州花园二区第27幢1层3号商铺；</w:t>
      </w:r>
    </w:p>
    <w:p>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val="en-US" w:eastAsia="zh-CN"/>
        </w:rPr>
        <w:t>文件</w:t>
      </w:r>
      <w:r>
        <w:rPr>
          <w:rFonts w:hint="eastAsia" w:ascii="仿宋" w:hAnsi="仿宋" w:eastAsia="仿宋" w:cs="仿宋"/>
          <w:color w:val="auto"/>
          <w:highlight w:val="none"/>
          <w:lang w:eastAsia="zh-CN"/>
        </w:rPr>
        <w:t>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val="en-US" w:eastAsia="zh-CN"/>
        </w:rPr>
        <w:t>购买文件</w:t>
      </w:r>
      <w:r>
        <w:rPr>
          <w:rFonts w:hint="eastAsia" w:ascii="仿宋" w:hAnsi="仿宋" w:eastAsia="仿宋" w:cs="仿宋"/>
          <w:b w:val="0"/>
          <w:bCs/>
          <w:color w:val="000000"/>
          <w:sz w:val="21"/>
          <w:szCs w:val="21"/>
          <w:highlight w:val="none"/>
          <w:lang w:eastAsia="zh-CN"/>
        </w:rPr>
        <w:t>时供应商需提交：</w:t>
      </w:r>
    </w:p>
    <w:p>
      <w:pPr>
        <w:pStyle w:val="21"/>
        <w:numPr>
          <w:ilvl w:val="0"/>
          <w:numId w:val="7"/>
        </w:numPr>
        <w:ind w:left="0" w:leftChars="0" w:firstLine="420" w:firstLineChars="200"/>
        <w:rPr>
          <w:rFonts w:hint="default" w:ascii="仿宋" w:hAnsi="仿宋" w:eastAsia="仿宋" w:cs="仿宋"/>
          <w:b w:val="0"/>
          <w:bCs/>
          <w:color w:val="000000"/>
          <w:sz w:val="21"/>
          <w:szCs w:val="21"/>
          <w:highlight w:val="none"/>
          <w:lang w:val="en-US" w:eastAsia="zh-CN" w:bidi="zh-CN"/>
        </w:rPr>
      </w:pPr>
      <w:r>
        <w:rPr>
          <w:rFonts w:hint="eastAsia" w:ascii="仿宋" w:hAnsi="仿宋" w:eastAsia="仿宋" w:cs="仿宋"/>
          <w:b w:val="0"/>
          <w:bCs/>
          <w:color w:val="000000"/>
          <w:sz w:val="21"/>
          <w:szCs w:val="21"/>
          <w:highlight w:val="none"/>
          <w:lang w:val="en-US" w:eastAsia="zh-CN" w:bidi="zh-CN"/>
        </w:rPr>
        <w:t>填写完整的《购买文件登记表》</w:t>
      </w:r>
      <w:r>
        <w:rPr>
          <w:rFonts w:hint="eastAsia" w:ascii="仿宋" w:hAnsi="仿宋" w:eastAsia="仿宋" w:cs="仿宋"/>
          <w:b w:val="0"/>
          <w:bCs/>
          <w:color w:val="000000"/>
          <w:sz w:val="21"/>
          <w:szCs w:val="21"/>
          <w:highlight w:val="none"/>
          <w:lang w:val="en-US" w:eastAsia="zh-CN"/>
        </w:rPr>
        <w:t>；</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numPr>
          <w:ilvl w:val="0"/>
          <w:numId w:val="7"/>
        </w:numPr>
        <w:kinsoku/>
        <w:wordWrap/>
        <w:overflowPunct/>
        <w:topLinePunct w:val="0"/>
        <w:autoSpaceDE/>
        <w:autoSpaceDN/>
        <w:bidi w:val="0"/>
        <w:adjustRightInd/>
        <w:snapToGrid/>
        <w:spacing w:line="380" w:lineRule="exact"/>
        <w:ind w:left="0" w:leftChars="0" w:firstLine="420" w:firstLineChars="200"/>
        <w:jc w:val="both"/>
        <w:textAlignment w:val="auto"/>
        <w:rPr>
          <w:rFonts w:hint="eastAsia"/>
          <w:lang w:val="en-US" w:eastAsia="zh-CN"/>
        </w:rPr>
      </w:pPr>
      <w:r>
        <w:rPr>
          <w:rFonts w:hint="eastAsia" w:ascii="仿宋" w:hAnsi="仿宋" w:eastAsia="仿宋" w:cs="仿宋"/>
          <w:b w:val="0"/>
          <w:bCs/>
          <w:color w:val="000000"/>
          <w:sz w:val="21"/>
          <w:szCs w:val="21"/>
          <w:highlight w:val="none"/>
          <w:lang w:val="en-US" w:eastAsia="zh-CN"/>
        </w:rPr>
        <w:t>法定代表人、被授权人身份证复印件、法定代表人资格证明书原件、法定代表人委托授权书原件。</w:t>
      </w:r>
      <w:r>
        <w:rPr>
          <w:rFonts w:hint="eastAsia" w:ascii="仿宋" w:hAnsi="仿宋" w:eastAsia="仿宋" w:cs="仿宋"/>
          <w:b w:val="0"/>
          <w:bCs/>
          <w:color w:val="000000"/>
          <w:spacing w:val="0"/>
          <w:w w:val="100"/>
          <w:sz w:val="22"/>
          <w:szCs w:val="22"/>
          <w:highlight w:val="none"/>
          <w:lang w:val="en-US" w:eastAsia="zh-CN"/>
        </w:rPr>
        <w:t>（如是法定代表人前往购买谈判文件，则提供法定代表人资格证明书原件及法定代表人身份证复印件</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pacing w:val="0"/>
          <w:w w:val="100"/>
          <w:sz w:val="22"/>
          <w:szCs w:val="22"/>
          <w:highlight w:val="none"/>
          <w:lang w:val="en-US" w:eastAsia="zh-CN"/>
        </w:rPr>
        <w:t>）</w:t>
      </w:r>
    </w:p>
    <w:p>
      <w:pPr>
        <w:keepNext w:val="0"/>
        <w:keepLines w:val="0"/>
        <w:pageBreakBefore w:val="0"/>
        <w:widowControl w:val="0"/>
        <w:numPr>
          <w:ilvl w:val="0"/>
          <w:numId w:val="8"/>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2023年6月16日16:30-17：00（北京时间，下同）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8"/>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新兴县新城镇升平路55号翔顺筠州花园二区第27幢1层3号商铺</w:t>
      </w:r>
      <w:r>
        <w:rPr>
          <w:rFonts w:hint="eastAsia" w:ascii="仿宋" w:hAnsi="仿宋" w:eastAsia="仿宋" w:cs="仿宋"/>
          <w:b w:val="0"/>
          <w:bCs/>
          <w:sz w:val="21"/>
          <w:szCs w:val="21"/>
          <w:highlight w:val="none"/>
          <w:lang w:eastAsia="zh-CN"/>
        </w:rPr>
        <w:t>；</w:t>
      </w:r>
    </w:p>
    <w:p>
      <w:pPr>
        <w:pStyle w:val="2"/>
        <w:keepNext w:val="0"/>
        <w:keepLines w:val="0"/>
        <w:pageBreakBefore w:val="0"/>
        <w:widowControl w:val="0"/>
        <w:numPr>
          <w:ilvl w:val="0"/>
          <w:numId w:val="8"/>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2023年6月16日17：00。（暨本次谈判起始时间）</w:t>
      </w:r>
    </w:p>
    <w:p>
      <w:pPr>
        <w:pStyle w:val="2"/>
        <w:keepNext w:val="0"/>
        <w:keepLines w:val="0"/>
        <w:pageBreakBefore w:val="0"/>
        <w:widowControl w:val="0"/>
        <w:numPr>
          <w:ilvl w:val="0"/>
          <w:numId w:val="8"/>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2"/>
        <w:keepNext w:val="0"/>
        <w:keepLines w:val="0"/>
        <w:pageBreakBefore w:val="0"/>
        <w:widowControl w:val="0"/>
        <w:numPr>
          <w:ilvl w:val="0"/>
          <w:numId w:val="8"/>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2"/>
        <w:keepNext w:val="0"/>
        <w:keepLines w:val="0"/>
        <w:pageBreakBefore w:val="0"/>
        <w:widowControl w:val="0"/>
        <w:numPr>
          <w:ilvl w:val="0"/>
          <w:numId w:val="8"/>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新兴县中医院；</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w:t>
      </w:r>
      <w:r>
        <w:rPr>
          <w:rFonts w:hint="eastAsia" w:ascii="仿宋" w:hAnsi="仿宋" w:eastAsia="仿宋" w:cs="仿宋"/>
          <w:highlight w:val="none"/>
          <w:lang w:val="en-US" w:eastAsia="zh-CN"/>
        </w:rPr>
        <w:t>广东省云浮市新兴县环城西路21号；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新兴县新城镇升平路55号翔顺筠州花园二区第27幢1层3号商铺</w:t>
      </w:r>
      <w:r>
        <w:rPr>
          <w:rFonts w:hint="eastAsia" w:ascii="仿宋" w:hAnsi="仿宋" w:eastAsia="仿宋" w:cs="仿宋"/>
          <w:sz w:val="21"/>
          <w:szCs w:val="21"/>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2"/>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2"/>
        <w:spacing w:before="164" w:line="240" w:lineRule="auto"/>
        <w:ind w:left="0" w:leftChars="0" w:right="490"/>
        <w:jc w:val="right"/>
        <w:rPr>
          <w:rFonts w:hint="default" w:ascii="仿宋" w:hAnsi="仿宋" w:eastAsia="仿宋" w:cs="仿宋"/>
          <w:highlight w:val="yellow"/>
          <w:lang w:val="en-US" w:eastAsia="zh-CN"/>
        </w:rPr>
      </w:pPr>
      <w:r>
        <w:rPr>
          <w:rFonts w:hint="eastAsia" w:ascii="仿宋" w:hAnsi="仿宋" w:eastAsia="仿宋" w:cs="仿宋"/>
          <w:highlight w:val="none"/>
        </w:rPr>
        <w:t>202</w:t>
      </w:r>
      <w:r>
        <w:rPr>
          <w:rFonts w:hint="eastAsia" w:ascii="仿宋" w:hAnsi="仿宋" w:eastAsia="仿宋" w:cs="仿宋"/>
          <w:highlight w:val="none"/>
          <w:lang w:val="en-US" w:eastAsia="zh-CN"/>
        </w:rPr>
        <w:t>3</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8日</w:t>
      </w:r>
    </w:p>
    <w:p>
      <w:pPr>
        <w:pStyle w:val="21"/>
        <w:ind w:left="0" w:leftChars="0" w:firstLine="0" w:firstLineChars="0"/>
        <w:rPr>
          <w:rFonts w:hint="eastAsia" w:ascii="仿宋" w:hAnsi="仿宋" w:eastAsia="仿宋" w:cs="仿宋"/>
        </w:rPr>
        <w:sectPr>
          <w:footerReference r:id="rId12"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2"/>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2"/>
        <w:keepNext w:val="0"/>
        <w:keepLines w:val="0"/>
        <w:pageBreakBefore w:val="0"/>
        <w:widowControl w:val="0"/>
        <w:kinsoku/>
        <w:wordWrap/>
        <w:overflowPunct/>
        <w:topLinePunct w:val="0"/>
        <w:autoSpaceDE w:val="0"/>
        <w:autoSpaceDN w:val="0"/>
        <w:bidi w:val="0"/>
        <w:adjustRightInd/>
        <w:snapToGrid/>
        <w:spacing w:before="0" w:line="320" w:lineRule="auto"/>
        <w:ind w:left="220" w:leftChars="100" w:right="567" w:firstLine="0"/>
        <w:jc w:val="center"/>
        <w:textAlignment w:val="auto"/>
        <w:rPr>
          <w:rFonts w:hint="default" w:ascii="微软雅黑" w:eastAsia="微软雅黑"/>
          <w:spacing w:val="0"/>
          <w:sz w:val="36"/>
          <w:szCs w:val="36"/>
          <w:lang w:val="en-US" w:eastAsia="zh-CN"/>
        </w:rPr>
      </w:pPr>
      <w:r>
        <w:rPr>
          <w:rFonts w:hint="default" w:ascii="微软雅黑" w:eastAsia="微软雅黑"/>
          <w:spacing w:val="0"/>
          <w:sz w:val="36"/>
          <w:szCs w:val="36"/>
          <w:lang w:val="en-US" w:eastAsia="zh-CN"/>
        </w:rPr>
        <w:t>新兴县中医院</w:t>
      </w:r>
      <w:r>
        <w:rPr>
          <w:rFonts w:hint="eastAsia" w:ascii="微软雅黑" w:eastAsia="微软雅黑"/>
          <w:spacing w:val="0"/>
          <w:sz w:val="36"/>
          <w:szCs w:val="36"/>
          <w:lang w:val="en-US" w:eastAsia="zh-CN"/>
        </w:rPr>
        <w:t>药事管理系统</w:t>
      </w:r>
      <w:r>
        <w:rPr>
          <w:rFonts w:hint="default" w:ascii="微软雅黑" w:eastAsia="微软雅黑"/>
          <w:spacing w:val="0"/>
          <w:sz w:val="36"/>
          <w:szCs w:val="36"/>
          <w:lang w:val="en-US" w:eastAsia="zh-CN"/>
        </w:rPr>
        <w:t>采购</w:t>
      </w:r>
      <w:r>
        <w:rPr>
          <w:rFonts w:hint="eastAsia" w:ascii="微软雅黑" w:eastAsia="微软雅黑"/>
          <w:spacing w:val="0"/>
          <w:sz w:val="36"/>
          <w:szCs w:val="36"/>
          <w:lang w:val="en-US" w:eastAsia="zh-CN"/>
        </w:rPr>
        <w:t>项目用户需求书</w:t>
      </w:r>
    </w:p>
    <w:tbl>
      <w:tblPr>
        <w:tblStyle w:val="22"/>
        <w:tblW w:w="503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20"/>
        <w:gridCol w:w="2035"/>
        <w:gridCol w:w="1487"/>
        <w:gridCol w:w="1031"/>
        <w:gridCol w:w="3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5"/>
          </w:tcPr>
          <w:p>
            <w:pPr>
              <w:pStyle w:val="28"/>
              <w:spacing w:before="97"/>
              <w:ind w:left="107"/>
              <w:rPr>
                <w:b/>
                <w:spacing w:val="0"/>
                <w:sz w:val="21"/>
              </w:rPr>
            </w:pPr>
            <w:r>
              <w:rPr>
                <w:rFonts w:hint="eastAsia" w:ascii="宋体" w:hAnsi="宋体" w:eastAsia="宋体" w:cs="宋体"/>
                <w:b/>
                <w:spacing w:val="0"/>
                <w:sz w:val="32"/>
                <w:szCs w:val="32"/>
                <w:lang w:val="en-US" w:eastAsia="zh-CN"/>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06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单位名称（盖章）</w:t>
            </w:r>
          </w:p>
        </w:tc>
        <w:tc>
          <w:tcPr>
            <w:tcW w:w="3930" w:type="pct"/>
            <w:gridSpan w:val="4"/>
            <w:vAlign w:val="center"/>
          </w:tcPr>
          <w:p>
            <w:pPr>
              <w:pStyle w:val="28"/>
              <w:keepNext w:val="0"/>
              <w:keepLines w:val="0"/>
              <w:pageBreakBefore w:val="0"/>
              <w:widowControl w:val="0"/>
              <w:kinsoku/>
              <w:wordWrap/>
              <w:overflowPunct/>
              <w:topLinePunct w:val="0"/>
              <w:autoSpaceDE w:val="0"/>
              <w:autoSpaceDN w:val="0"/>
              <w:bidi w:val="0"/>
              <w:adjustRightInd/>
              <w:snapToGrid/>
              <w:spacing w:before="0"/>
              <w:ind w:firstLine="240" w:firstLineChars="100"/>
              <w:jc w:val="left"/>
              <w:textAlignment w:val="auto"/>
              <w:rPr>
                <w:rFonts w:hint="default" w:ascii="宋体" w:hAnsi="宋体" w:eastAsia="宋体" w:cs="宋体"/>
                <w:spacing w:val="0"/>
                <w:sz w:val="24"/>
                <w:szCs w:val="24"/>
                <w:lang w:val="en-US" w:eastAsia="zh-CN"/>
              </w:rPr>
            </w:pPr>
            <w:r>
              <w:rPr>
                <w:rFonts w:hint="eastAsia" w:cs="宋体"/>
                <w:spacing w:val="0"/>
                <w:sz w:val="24"/>
                <w:szCs w:val="24"/>
                <w:lang w:val="en-US" w:eastAsia="zh-CN"/>
              </w:rPr>
              <w:t>新兴县中医院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6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0"/>
              <w:ind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30" w:type="pct"/>
            <w:gridSpan w:val="4"/>
            <w:vAlign w:val="center"/>
          </w:tcPr>
          <w:p>
            <w:pPr>
              <w:pStyle w:val="2"/>
              <w:keepNext w:val="0"/>
              <w:keepLines w:val="0"/>
              <w:pageBreakBefore w:val="0"/>
              <w:widowControl w:val="0"/>
              <w:kinsoku/>
              <w:wordWrap/>
              <w:overflowPunct/>
              <w:topLinePunct w:val="0"/>
              <w:autoSpaceDE w:val="0"/>
              <w:autoSpaceDN w:val="0"/>
              <w:bidi w:val="0"/>
              <w:adjustRightInd/>
              <w:snapToGrid/>
              <w:spacing w:before="0" w:line="320" w:lineRule="auto"/>
              <w:ind w:right="283" w:firstLine="240" w:firstLineChars="100"/>
              <w:jc w:val="left"/>
              <w:textAlignment w:val="auto"/>
              <w:rPr>
                <w:rFonts w:hint="default" w:ascii="宋体" w:hAnsi="宋体" w:eastAsia="仿宋_GB2312" w:cs="宋体"/>
                <w:spacing w:val="0"/>
                <w:sz w:val="24"/>
                <w:szCs w:val="24"/>
                <w:lang w:val="en-US" w:eastAsia="zh-CN"/>
              </w:rPr>
            </w:pPr>
            <w:r>
              <w:rPr>
                <w:rFonts w:hint="default" w:ascii="宋体" w:hAnsi="宋体" w:eastAsia="宋体" w:cs="宋体"/>
                <w:b w:val="0"/>
                <w:bCs w:val="0"/>
                <w:spacing w:val="0"/>
                <w:sz w:val="24"/>
                <w:szCs w:val="24"/>
                <w:lang w:val="en-US" w:eastAsia="zh-CN" w:bidi="zh-CN"/>
              </w:rPr>
              <w:t>新兴县中医院</w:t>
            </w:r>
            <w:r>
              <w:rPr>
                <w:rFonts w:hint="eastAsia" w:ascii="宋体" w:hAnsi="宋体" w:eastAsia="宋体" w:cs="宋体"/>
                <w:b w:val="0"/>
                <w:bCs w:val="0"/>
                <w:spacing w:val="0"/>
                <w:sz w:val="24"/>
                <w:szCs w:val="24"/>
                <w:lang w:val="en-US" w:eastAsia="zh-CN" w:bidi="zh-CN"/>
              </w:rPr>
              <w:t>药事管理系统</w:t>
            </w:r>
            <w:r>
              <w:rPr>
                <w:rFonts w:hint="default" w:ascii="宋体" w:hAnsi="宋体" w:eastAsia="宋体" w:cs="宋体"/>
                <w:b w:val="0"/>
                <w:bCs w:val="0"/>
                <w:spacing w:val="0"/>
                <w:sz w:val="24"/>
                <w:szCs w:val="24"/>
                <w:lang w:val="en-US" w:eastAsia="zh-CN" w:bidi="zh-CN"/>
              </w:rPr>
              <w:t>采购</w:t>
            </w:r>
            <w:r>
              <w:rPr>
                <w:rFonts w:hint="eastAsia" w:ascii="宋体" w:hAnsi="宋体" w:eastAsia="宋体" w:cs="宋体"/>
                <w:b w:val="0"/>
                <w:bCs w:val="0"/>
                <w:spacing w:val="0"/>
                <w:sz w:val="24"/>
                <w:szCs w:val="24"/>
                <w:lang w:val="en-US" w:eastAsia="zh-CN" w:bidi="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6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0"/>
              <w:ind w:left="472"/>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930" w:type="pct"/>
            <w:gridSpan w:val="4"/>
          </w:tcPr>
          <w:p>
            <w:pPr>
              <w:pStyle w:val="28"/>
              <w:keepNext w:val="0"/>
              <w:keepLines w:val="0"/>
              <w:pageBreakBefore w:val="0"/>
              <w:widowControl w:val="0"/>
              <w:tabs>
                <w:tab w:val="left" w:pos="703"/>
              </w:tabs>
              <w:kinsoku/>
              <w:wordWrap/>
              <w:overflowPunct/>
              <w:topLinePunct w:val="0"/>
              <w:autoSpaceDE w:val="0"/>
              <w:autoSpaceDN w:val="0"/>
              <w:bidi w:val="0"/>
              <w:adjustRightInd/>
              <w:snapToGrid/>
              <w:spacing w:before="0"/>
              <w:ind w:firstLine="240" w:firstLineChars="100"/>
              <w:jc w:val="left"/>
              <w:textAlignment w:val="auto"/>
              <w:rPr>
                <w:rFonts w:hint="default" w:ascii="宋体" w:hAnsi="宋体" w:eastAsia="宋体" w:cs="宋体"/>
                <w:spacing w:val="0"/>
                <w:sz w:val="24"/>
                <w:szCs w:val="24"/>
                <w:lang w:val="en-US" w:eastAsia="zh-CN"/>
              </w:rPr>
            </w:pPr>
            <w:r>
              <w:rPr>
                <w:rFonts w:hint="eastAsia" w:cs="宋体"/>
                <w:spacing w:val="0"/>
                <w:sz w:val="24"/>
                <w:szCs w:val="24"/>
                <w:lang w:val="en-US" w:eastAsia="zh-CN"/>
              </w:rPr>
              <w:t>650,000.00元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6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0"/>
              <w:ind w:left="683"/>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930" w:type="pct"/>
            <w:gridSpan w:val="4"/>
          </w:tcPr>
          <w:p>
            <w:pPr>
              <w:pStyle w:val="28"/>
              <w:keepNext w:val="0"/>
              <w:keepLines w:val="0"/>
              <w:pageBreakBefore w:val="0"/>
              <w:widowControl w:val="0"/>
              <w:tabs>
                <w:tab w:val="left" w:pos="3478"/>
                <w:tab w:val="left" w:pos="5161"/>
              </w:tabs>
              <w:kinsoku/>
              <w:wordWrap/>
              <w:overflowPunct/>
              <w:topLinePunct w:val="0"/>
              <w:autoSpaceDE w:val="0"/>
              <w:autoSpaceDN w:val="0"/>
              <w:bidi w:val="0"/>
              <w:adjustRightInd/>
              <w:snapToGrid/>
              <w:spacing w:before="0"/>
              <w:ind w:left="106"/>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 xml:space="preserve">1、财政性资金（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2、</w:t>
            </w:r>
            <w:r>
              <w:rPr>
                <w:rFonts w:hint="eastAsia" w:ascii="宋体" w:hAnsi="宋体"/>
                <w:sz w:val="24"/>
              </w:rPr>
              <w:t>单位自筹</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 xml:space="preserve">     </w:t>
            </w:r>
            <w:r>
              <w:rPr>
                <w:rFonts w:hint="eastAsia" w:cs="宋体"/>
                <w:spacing w:val="0"/>
                <w:sz w:val="24"/>
                <w:szCs w:val="24"/>
                <w:lang w:val="en-US" w:eastAsia="zh-CN"/>
              </w:rPr>
              <w:t>3</w:t>
            </w:r>
            <w:r>
              <w:rPr>
                <w:rFonts w:hint="eastAsia" w:ascii="宋体" w:hAnsi="宋体" w:eastAsia="宋体" w:cs="宋体"/>
                <w:spacing w:val="0"/>
                <w:sz w:val="24"/>
                <w:szCs w:val="24"/>
              </w:rPr>
              <w:t>、其他资金（</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6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联系人</w:t>
            </w:r>
          </w:p>
        </w:tc>
        <w:tc>
          <w:tcPr>
            <w:tcW w:w="1776" w:type="pct"/>
            <w:gridSpan w:val="2"/>
          </w:tcPr>
          <w:p>
            <w:pPr>
              <w:pStyle w:val="28"/>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联系电话</w:t>
            </w:r>
          </w:p>
        </w:tc>
        <w:tc>
          <w:tcPr>
            <w:tcW w:w="2153" w:type="pct"/>
            <w:gridSpan w:val="2"/>
          </w:tcPr>
          <w:p>
            <w:pPr>
              <w:pStyle w:val="28"/>
              <w:keepNext w:val="0"/>
              <w:keepLines w:val="0"/>
              <w:pageBreakBefore w:val="0"/>
              <w:widowControl w:val="0"/>
              <w:kinsoku/>
              <w:wordWrap/>
              <w:overflowPunct/>
              <w:topLinePunct w:val="0"/>
              <w:autoSpaceDE w:val="0"/>
              <w:autoSpaceDN w:val="0"/>
              <w:bidi w:val="0"/>
              <w:adjustRightInd/>
              <w:snapToGrid/>
              <w:spacing w:before="0"/>
              <w:ind w:left="899" w:right="888"/>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06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eastAsia="zh-CN"/>
              </w:rPr>
              <w:t>李小菊</w:t>
            </w:r>
          </w:p>
        </w:tc>
        <w:tc>
          <w:tcPr>
            <w:tcW w:w="1776" w:type="pct"/>
            <w:gridSpan w:val="2"/>
            <w:vAlign w:val="center"/>
          </w:tcPr>
          <w:p>
            <w:pPr>
              <w:pStyle w:val="28"/>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18818964028</w:t>
            </w:r>
          </w:p>
        </w:tc>
        <w:tc>
          <w:tcPr>
            <w:tcW w:w="2153" w:type="pct"/>
            <w:gridSpan w:val="2"/>
            <w:vAlign w:val="center"/>
          </w:tcPr>
          <w:p>
            <w:pPr>
              <w:pStyle w:val="28"/>
              <w:keepNext w:val="0"/>
              <w:keepLines w:val="0"/>
              <w:pageBreakBefore w:val="0"/>
              <w:widowControl w:val="0"/>
              <w:kinsoku/>
              <w:wordWrap/>
              <w:overflowPunct/>
              <w:topLinePunct w:val="0"/>
              <w:autoSpaceDE w:val="0"/>
              <w:autoSpaceDN w:val="0"/>
              <w:bidi w:val="0"/>
              <w:adjustRightInd/>
              <w:snapToGrid/>
              <w:spacing w:before="0"/>
              <w:ind w:left="0" w:leftChars="0" w:right="889" w:rightChars="0"/>
              <w:jc w:val="center"/>
              <w:textAlignment w:val="auto"/>
              <w:rPr>
                <w:rFonts w:hint="eastAsia" w:ascii="宋体" w:hAnsi="宋体" w:eastAsia="宋体" w:cs="宋体"/>
                <w:spacing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5"/>
          </w:tcPr>
          <w:p>
            <w:pPr>
              <w:pStyle w:val="28"/>
              <w:spacing w:before="98"/>
              <w:ind w:left="107"/>
              <w:rPr>
                <w:rFonts w:hint="eastAsia" w:eastAsia="宋体"/>
                <w:b/>
                <w:spacing w:val="0"/>
                <w:sz w:val="21"/>
                <w:lang w:eastAsia="zh-CN"/>
              </w:rPr>
            </w:pPr>
            <w:r>
              <w:rPr>
                <w:rFonts w:hint="eastAsia" w:ascii="宋体" w:hAnsi="宋体" w:eastAsia="宋体" w:cs="宋体"/>
                <w:b/>
                <w:spacing w:val="0"/>
                <w:sz w:val="32"/>
                <w:szCs w:val="32"/>
                <w:lang w:val="en-US" w:eastAsia="zh-CN"/>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095" w:type="pct"/>
            <w:gridSpan w:val="2"/>
            <w:vAlign w:val="center"/>
          </w:tcPr>
          <w:p>
            <w:pPr>
              <w:pStyle w:val="28"/>
              <w:spacing w:before="98"/>
              <w:jc w:val="center"/>
              <w:rPr>
                <w:spacing w:val="0"/>
                <w:sz w:val="24"/>
                <w:szCs w:val="24"/>
              </w:rPr>
            </w:pPr>
            <w:r>
              <w:rPr>
                <w:rFonts w:hint="eastAsia"/>
                <w:b/>
                <w:bCs/>
                <w:spacing w:val="0"/>
                <w:sz w:val="24"/>
                <w:szCs w:val="24"/>
                <w:lang w:val="en-US" w:eastAsia="zh-CN"/>
              </w:rPr>
              <w:t>标的提供的时间</w:t>
            </w:r>
          </w:p>
        </w:tc>
        <w:tc>
          <w:tcPr>
            <w:tcW w:w="1270" w:type="pct"/>
            <w:gridSpan w:val="2"/>
            <w:vAlign w:val="center"/>
          </w:tcPr>
          <w:p>
            <w:pPr>
              <w:pStyle w:val="28"/>
              <w:spacing w:before="98"/>
              <w:jc w:val="center"/>
              <w:rPr>
                <w:rFonts w:hint="eastAsia"/>
                <w:b/>
                <w:bCs/>
                <w:spacing w:val="0"/>
                <w:sz w:val="24"/>
                <w:szCs w:val="24"/>
                <w:lang w:val="en-US" w:eastAsia="zh-CN"/>
              </w:rPr>
            </w:pPr>
            <w:r>
              <w:rPr>
                <w:rFonts w:hint="eastAsia"/>
                <w:b/>
                <w:bCs/>
                <w:spacing w:val="0"/>
                <w:sz w:val="24"/>
                <w:szCs w:val="24"/>
                <w:lang w:val="en-US" w:eastAsia="zh-CN"/>
              </w:rPr>
              <w:t>质保期</w:t>
            </w:r>
          </w:p>
        </w:tc>
        <w:tc>
          <w:tcPr>
            <w:tcW w:w="1633" w:type="pct"/>
            <w:vAlign w:val="center"/>
          </w:tcPr>
          <w:p>
            <w:pPr>
              <w:pStyle w:val="28"/>
              <w:spacing w:before="98"/>
              <w:jc w:val="center"/>
              <w:rPr>
                <w:spacing w:val="0"/>
                <w:sz w:val="24"/>
                <w:szCs w:val="24"/>
              </w:rPr>
            </w:pPr>
            <w:r>
              <w:rPr>
                <w:rFonts w:hint="eastAsia"/>
                <w:b/>
                <w:bCs/>
                <w:spacing w:val="0"/>
                <w:sz w:val="24"/>
                <w:szCs w:val="24"/>
                <w:lang w:val="en-US" w:eastAsia="zh-CN"/>
              </w:rPr>
              <w:t>标的提供的地点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2095" w:type="pct"/>
            <w:gridSpan w:val="2"/>
          </w:tcPr>
          <w:p>
            <w:pPr>
              <w:pStyle w:val="28"/>
              <w:keepNext w:val="0"/>
              <w:keepLines w:val="0"/>
              <w:pageBreakBefore w:val="0"/>
              <w:widowControl w:val="0"/>
              <w:kinsoku/>
              <w:wordWrap/>
              <w:overflowPunct/>
              <w:topLinePunct w:val="0"/>
              <w:autoSpaceDE w:val="0"/>
              <w:autoSpaceDN w:val="0"/>
              <w:bidi w:val="0"/>
              <w:adjustRightInd/>
              <w:snapToGrid/>
              <w:spacing w:before="98"/>
              <w:ind w:left="0" w:right="0"/>
              <w:jc w:val="center"/>
              <w:textAlignment w:val="auto"/>
              <w:rPr>
                <w:rFonts w:hint="default" w:eastAsia="宋体"/>
                <w:spacing w:val="0"/>
                <w:sz w:val="24"/>
                <w:szCs w:val="24"/>
                <w:highlight w:val="red"/>
                <w:lang w:val="en-US" w:eastAsia="zh-CN"/>
              </w:rPr>
            </w:pPr>
            <w:r>
              <w:rPr>
                <w:spacing w:val="0"/>
                <w:sz w:val="24"/>
                <w:szCs w:val="24"/>
              </w:rPr>
              <w:t>在</w:t>
            </w:r>
            <w:r>
              <w:rPr>
                <w:rFonts w:hint="eastAsia"/>
                <w:spacing w:val="0"/>
                <w:sz w:val="24"/>
                <w:szCs w:val="24"/>
                <w:lang w:val="en-US" w:eastAsia="zh-CN"/>
              </w:rPr>
              <w:t>3</w:t>
            </w:r>
            <w:r>
              <w:rPr>
                <w:spacing w:val="0"/>
                <w:sz w:val="24"/>
                <w:szCs w:val="24"/>
              </w:rPr>
              <w:t>个月</w:t>
            </w:r>
            <w:r>
              <w:rPr>
                <w:rFonts w:hint="eastAsia"/>
                <w:spacing w:val="0"/>
                <w:sz w:val="24"/>
                <w:szCs w:val="24"/>
                <w:lang w:val="en-US" w:eastAsia="zh-CN"/>
              </w:rPr>
              <w:t>内</w:t>
            </w:r>
            <w:r>
              <w:rPr>
                <w:spacing w:val="0"/>
                <w:sz w:val="24"/>
                <w:szCs w:val="24"/>
              </w:rPr>
              <w:t>完成系统上线，</w:t>
            </w:r>
            <w:r>
              <w:rPr>
                <w:rFonts w:hint="eastAsia"/>
                <w:spacing w:val="0"/>
                <w:sz w:val="24"/>
                <w:szCs w:val="24"/>
                <w:lang w:val="en-US" w:eastAsia="zh-CN"/>
              </w:rPr>
              <w:t>6</w:t>
            </w:r>
            <w:r>
              <w:rPr>
                <w:spacing w:val="0"/>
                <w:sz w:val="24"/>
                <w:szCs w:val="24"/>
              </w:rPr>
              <w:t>个月内完成整体项目验收，不含院内第三方系统厂家所花时间。（以合同签订时间为准）</w:t>
            </w:r>
          </w:p>
        </w:tc>
        <w:tc>
          <w:tcPr>
            <w:tcW w:w="1270" w:type="pct"/>
            <w:gridSpan w:val="2"/>
            <w:vAlign w:val="center"/>
          </w:tcPr>
          <w:p>
            <w:pPr>
              <w:pStyle w:val="28"/>
              <w:keepNext w:val="0"/>
              <w:keepLines w:val="0"/>
              <w:pageBreakBefore w:val="0"/>
              <w:widowControl w:val="0"/>
              <w:kinsoku/>
              <w:wordWrap/>
              <w:overflowPunct/>
              <w:topLinePunct w:val="0"/>
              <w:autoSpaceDE w:val="0"/>
              <w:autoSpaceDN w:val="0"/>
              <w:bidi w:val="0"/>
              <w:adjustRightInd/>
              <w:snapToGrid/>
              <w:spacing w:before="98"/>
              <w:ind w:left="0" w:right="0"/>
              <w:jc w:val="center"/>
              <w:textAlignment w:val="auto"/>
              <w:rPr>
                <w:spacing w:val="0"/>
                <w:sz w:val="24"/>
                <w:szCs w:val="24"/>
              </w:rPr>
            </w:pPr>
            <w:r>
              <w:rPr>
                <w:rFonts w:hint="eastAsia"/>
                <w:spacing w:val="0"/>
                <w:sz w:val="24"/>
                <w:szCs w:val="24"/>
                <w:lang w:val="en-US" w:eastAsia="zh-CN"/>
              </w:rPr>
              <w:t>两年</w:t>
            </w:r>
          </w:p>
        </w:tc>
        <w:tc>
          <w:tcPr>
            <w:tcW w:w="1633"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98"/>
              <w:ind w:left="22" w:leftChars="10"/>
              <w:jc w:val="center"/>
              <w:textAlignment w:val="auto"/>
              <w:rPr>
                <w:rFonts w:hint="eastAsia" w:eastAsia="宋体"/>
                <w:spacing w:val="0"/>
                <w:sz w:val="24"/>
                <w:szCs w:val="24"/>
                <w:lang w:eastAsia="zh-CN"/>
              </w:rPr>
            </w:pPr>
            <w:r>
              <w:rPr>
                <w:spacing w:val="0"/>
                <w:sz w:val="24"/>
                <w:szCs w:val="24"/>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000" w:type="pct"/>
            <w:gridSpan w:val="5"/>
          </w:tcPr>
          <w:p>
            <w:pPr>
              <w:pStyle w:val="28"/>
              <w:spacing w:before="97"/>
              <w:ind w:left="3248" w:right="3243"/>
              <w:jc w:val="center"/>
              <w:rPr>
                <w:spacing w:val="0"/>
                <w:sz w:val="21"/>
              </w:rPr>
            </w:pPr>
            <w:r>
              <w:rPr>
                <w:rFonts w:hint="eastAsia"/>
                <w:b/>
                <w:bCs/>
                <w:spacing w:val="0"/>
                <w:sz w:val="24"/>
                <w:szCs w:val="24"/>
                <w:lang w:val="en-US" w:eastAsia="zh-CN"/>
              </w:rPr>
              <w:t>（一）响应</w:t>
            </w:r>
            <w:r>
              <w:rPr>
                <w:b/>
                <w:bCs/>
                <w:spacing w:val="0"/>
                <w:sz w:val="24"/>
                <w:szCs w:val="24"/>
              </w:rPr>
              <w:t>供应商资</w:t>
            </w:r>
            <w:r>
              <w:rPr>
                <w:rFonts w:hint="eastAsia"/>
                <w:b/>
                <w:bCs/>
                <w:spacing w:val="0"/>
                <w:sz w:val="24"/>
                <w:szCs w:val="24"/>
                <w:lang w:val="en-US" w:eastAsia="zh-CN"/>
              </w:rPr>
              <w:t>格</w:t>
            </w:r>
            <w:r>
              <w:rPr>
                <w:b/>
                <w:bCs/>
                <w:spacing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2" w:hRule="atLeast"/>
          <w:jc w:val="center"/>
        </w:trPr>
        <w:tc>
          <w:tcPr>
            <w:tcW w:w="5000" w:type="pct"/>
            <w:gridSpan w:val="5"/>
            <w:tcBorders>
              <w:bottom w:val="single" w:color="auto" w:sz="4" w:space="0"/>
            </w:tcBorders>
          </w:tcPr>
          <w:p>
            <w:pPr>
              <w:pStyle w:val="20"/>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lang w:val="en-US" w:eastAsia="zh-CN"/>
              </w:rPr>
              <w:t>响应</w:t>
            </w:r>
            <w:r>
              <w:rPr>
                <w:rFonts w:hint="eastAsia"/>
              </w:rPr>
              <w:t>供应商应具备《</w:t>
            </w:r>
            <w:r>
              <w:rPr>
                <w:rFonts w:hint="eastAsia"/>
                <w:lang w:val="en-US" w:eastAsia="zh-CN"/>
              </w:rPr>
              <w:t>中华人民共和国</w:t>
            </w:r>
            <w:r>
              <w:rPr>
                <w:rFonts w:hint="eastAsia"/>
              </w:rPr>
              <w:t>政府采购法》第二十二条规定的条件，提供下列材料：</w:t>
            </w:r>
          </w:p>
          <w:p>
            <w:pPr>
              <w:pStyle w:val="20"/>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具有独立承担民事责任的能力；</w:t>
            </w:r>
          </w:p>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kern w:val="0"/>
                <w:sz w:val="24"/>
                <w:szCs w:val="22"/>
                <w:lang w:val="en-US" w:eastAsia="zh-CN" w:bidi="ar"/>
              </w:rPr>
              <w:t>具有良好的商业信誉和健全的财务会计制度；</w:t>
            </w:r>
          </w:p>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有依法缴纳税收证明和社会保障资金的良好记录；</w:t>
            </w:r>
          </w:p>
          <w:p>
            <w:pPr>
              <w:pStyle w:val="20"/>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参加采购活动前3年内，在经营活动中没有重大违法记录；</w:t>
            </w:r>
          </w:p>
          <w:p>
            <w:pPr>
              <w:pStyle w:val="20"/>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ascii="宋体" w:hAnsi="宋体" w:eastAsia="宋体" w:cs="宋体"/>
                <w:i w:val="0"/>
                <w:iCs w:val="0"/>
                <w:caps w:val="0"/>
                <w:color w:val="222222"/>
                <w:spacing w:val="0"/>
                <w:sz w:val="24"/>
                <w:szCs w:val="24"/>
                <w:shd w:val="clear" w:fill="FFFFFF"/>
              </w:rPr>
              <w:t>具有履行合同所必需的设备和专业技术能力</w:t>
            </w:r>
            <w:r>
              <w:rPr>
                <w:rFonts w:hint="eastAsia"/>
              </w:rPr>
              <w:t>；</w:t>
            </w:r>
          </w:p>
          <w:p>
            <w:pPr>
              <w:pStyle w:val="20"/>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rPr>
              <w:t>供应商必须符合法律、行政法规规定的其他条件</w:t>
            </w:r>
            <w:r>
              <w:rPr>
                <w:rFonts w:hint="eastAsia"/>
                <w:lang w:eastAsia="zh-CN"/>
              </w:rPr>
              <w:t>。</w:t>
            </w:r>
          </w:p>
          <w:p>
            <w:pPr>
              <w:pStyle w:val="20"/>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lang w:val="en-US" w:eastAsia="zh-CN"/>
              </w:rPr>
              <w:t>落实政府采购政策需满足的资格要求：</w:t>
            </w:r>
          </w:p>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本项目为专门面向中小企业采购的项目，响应供应商须</w:t>
            </w:r>
            <w:r>
              <w:rPr>
                <w:rFonts w:hint="eastAsia" w:cs="宋体"/>
                <w:lang w:val="en-US" w:eastAsia="zh-CN"/>
              </w:rPr>
              <w:t>符合</w:t>
            </w:r>
            <w:r>
              <w:rPr>
                <w:rFonts w:hint="eastAsia" w:cs="宋体"/>
                <w:b/>
                <w:bCs/>
                <w:spacing w:val="0"/>
                <w:kern w:val="0"/>
                <w:sz w:val="24"/>
                <w:szCs w:val="24"/>
                <w:vertAlign w:val="baseline"/>
                <w:lang w:val="en-US" w:eastAsia="zh-CN" w:bidi="zh-CN"/>
              </w:rPr>
              <w:t>软件和信息技术服务业</w:t>
            </w:r>
            <w:r>
              <w:rPr>
                <w:rFonts w:hint="eastAsia" w:cs="宋体"/>
                <w:lang w:val="en-US" w:eastAsia="zh-CN"/>
              </w:rPr>
              <w:t>的</w:t>
            </w:r>
            <w:r>
              <w:rPr>
                <w:rFonts w:hint="eastAsia" w:ascii="宋体" w:hAnsi="宋体" w:eastAsia="宋体" w:cs="宋体"/>
                <w:lang w:val="en-US" w:eastAsia="zh-CN"/>
              </w:rPr>
              <w:t>中小企业</w:t>
            </w:r>
            <w:r>
              <w:rPr>
                <w:rFonts w:hint="eastAsia" w:cs="宋体"/>
                <w:lang w:val="en-US" w:eastAsia="zh-CN"/>
              </w:rPr>
              <w:t>划分标准</w:t>
            </w:r>
            <w:r>
              <w:rPr>
                <w:rFonts w:hint="eastAsia" w:ascii="宋体" w:hAnsi="宋体" w:eastAsia="宋体" w:cs="宋体"/>
                <w:lang w:val="en-US" w:eastAsia="zh-CN"/>
              </w:rPr>
              <w:t>。【提供中小企业声明函】</w:t>
            </w:r>
          </w:p>
          <w:p>
            <w:pPr>
              <w:pStyle w:val="20"/>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default" w:ascii="宋体" w:hAnsi="宋体" w:eastAsia="宋体" w:cs="宋体"/>
                <w:lang w:val="en-US" w:eastAsia="zh-CN"/>
              </w:rPr>
            </w:pPr>
            <w:r>
              <w:rPr>
                <w:rFonts w:hint="eastAsia"/>
                <w:lang w:val="en-US" w:eastAsia="zh-CN"/>
              </w:rPr>
              <w:t>本项目特定的资格要求：</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r>
              <w:rPr>
                <w:rFonts w:hint="eastAsia" w:cs="宋体"/>
                <w:lang w:val="en-US" w:eastAsia="zh-CN"/>
              </w:rPr>
              <w:t>；</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响应供应商必须是在中华人民共和国境内注册的独立法人或其他组织，具有从事本项目的技术服务能力；</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r>
              <w:rPr>
                <w:rFonts w:hint="eastAsia" w:cs="宋体"/>
                <w:lang w:val="en-US" w:eastAsia="zh-CN"/>
              </w:rPr>
              <w:t>；</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本项目不接受联合体投标，不允许响应供应商对本采购项目进行分包和转包；</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ascii="宋体" w:hAnsi="宋体" w:eastAsia="宋体" w:cs="宋体"/>
                <w:lang w:val="en-US" w:eastAsia="zh-CN"/>
              </w:rPr>
              <w:t>响应供应商须对全部内容进行响应，不得分拆；</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ascii="宋体" w:hAnsi="宋体" w:eastAsia="宋体" w:cs="宋体"/>
                <w:lang w:val="en-US" w:eastAsia="zh-CN"/>
              </w:rPr>
              <w:t>按规定获取本项目采购文件的。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（二）验收要求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5"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pPr>
            <w:r>
              <w:t>供应商按照项目的要求，在规定时间内完成系统设计、研发、安装实施、测试、调试、验收等工作，并向采购人提交项目应用系统。</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t>系统验收：验收包括检查整个系统是否实现了采购人要求的全部功能，是否满足招标文件、合同、系统需求规格说明书及双方签署的补充文件的要求。</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spacing w:val="0"/>
                <w:kern w:val="0"/>
                <w:sz w:val="24"/>
                <w:szCs w:val="24"/>
                <w:lang w:val="en-US" w:eastAsia="zh-CN" w:bidi="zh-CN"/>
              </w:rPr>
            </w:pPr>
            <w:r>
              <w:t>文档验收：供应商提交文档须符合验收文档要求，包括但不限于以下文档：</w:t>
            </w:r>
            <w:r>
              <w:rPr>
                <w:rFonts w:hint="eastAsia"/>
                <w:highlight w:val="yellow"/>
              </w:rPr>
              <w:t>《项目实施计划》</w:t>
            </w:r>
            <w:r>
              <w:rPr>
                <w:highlight w:val="yellow"/>
              </w:rPr>
              <w:t>、</w:t>
            </w:r>
            <w:r>
              <w:rPr>
                <w:rFonts w:hint="eastAsia"/>
                <w:highlight w:val="yellow"/>
              </w:rPr>
              <w:t>《实施方案》</w:t>
            </w:r>
            <w:r>
              <w:rPr>
                <w:highlight w:val="yellow"/>
              </w:rPr>
              <w:t>、</w:t>
            </w:r>
            <w:r>
              <w:rPr>
                <w:rFonts w:hint="eastAsia"/>
                <w:highlight w:val="yellow"/>
              </w:rPr>
              <w:t>《培训方案》</w:t>
            </w:r>
            <w:r>
              <w:rPr>
                <w:highlight w:val="yellow"/>
              </w:rPr>
              <w:t>、</w:t>
            </w:r>
            <w:r>
              <w:rPr>
                <w:rFonts w:hint="eastAsia"/>
                <w:highlight w:val="yellow"/>
              </w:rPr>
              <w:t>《试运行方案》</w:t>
            </w:r>
            <w:r>
              <w:rPr>
                <w:highlight w:val="yellow"/>
              </w:rPr>
              <w:t>、</w:t>
            </w:r>
            <w:r>
              <w:rPr>
                <w:rFonts w:hint="eastAsia"/>
                <w:highlight w:val="yellow"/>
              </w:rPr>
              <w:t>《项目总结报告》</w:t>
            </w:r>
            <w:r>
              <w:rPr>
                <w:highlight w:val="yellow"/>
              </w:rPr>
              <w:t>、</w:t>
            </w:r>
            <w:r>
              <w:rPr>
                <w:rFonts w:hint="eastAsia"/>
                <w:highlight w:val="yellow"/>
              </w:rPr>
              <w:t>《用户使用报告》</w:t>
            </w:r>
            <w:r>
              <w:rPr>
                <w:rFonts w:hint="eastAsia"/>
                <w:lang w:val="en-US" w:eastAsia="zh-CN"/>
              </w:rPr>
              <w:t>以及</w:t>
            </w:r>
            <w:r>
              <w:t>上级机构验收所需所有文档及采购人需要的其他文档。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（三）付款方式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5"/>
            <w:tcBorders>
              <w:bottom w:val="single" w:color="auto" w:sz="4" w:space="0"/>
            </w:tcBorders>
            <w:vAlign w:val="top"/>
          </w:tcPr>
          <w:p>
            <w:pPr>
              <w:keepNext w:val="0"/>
              <w:keepLines w:val="0"/>
              <w:pageBreakBefore w:val="0"/>
              <w:kinsoku/>
              <w:wordWrap/>
              <w:overflowPunct/>
              <w:topLinePunct w:val="0"/>
              <w:autoSpaceDE w:val="0"/>
              <w:autoSpaceDN w:val="0"/>
              <w:bidi w:val="0"/>
              <w:adjustRightInd/>
              <w:snapToGrid/>
              <w:spacing w:line="360" w:lineRule="auto"/>
              <w:ind w:left="690" w:leftChars="150" w:hanging="360" w:hangingChars="150"/>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1、1期：支付比例</w:t>
            </w:r>
            <w:r>
              <w:rPr>
                <w:rFonts w:hint="eastAsia" w:cs="宋体"/>
                <w:kern w:val="0"/>
                <w:sz w:val="24"/>
                <w:szCs w:val="24"/>
                <w:lang w:val="en-US" w:eastAsia="zh-CN" w:bidi="ar"/>
              </w:rPr>
              <w:t>30</w:t>
            </w:r>
            <w:r>
              <w:rPr>
                <w:rFonts w:ascii="宋体" w:hAnsi="宋体" w:eastAsia="宋体" w:cs="宋体"/>
                <w:kern w:val="0"/>
                <w:sz w:val="24"/>
                <w:szCs w:val="24"/>
                <w:lang w:val="en-US" w:eastAsia="zh-CN" w:bidi="ar"/>
              </w:rPr>
              <w:t>%,</w:t>
            </w:r>
            <w:r>
              <w:rPr>
                <w:rFonts w:hint="eastAsia" w:ascii="宋体" w:hAnsi="宋体" w:eastAsia="宋体" w:cs="宋体"/>
                <w:kern w:val="0"/>
                <w:sz w:val="24"/>
                <w:szCs w:val="24"/>
                <w:highlight w:val="yellow"/>
                <w:lang w:val="en-US" w:eastAsia="zh-CN" w:bidi="ar"/>
              </w:rPr>
              <w:t>签订采购合同后</w:t>
            </w:r>
            <w:r>
              <w:rPr>
                <w:rFonts w:hint="eastAsia" w:cs="宋体"/>
                <w:kern w:val="0"/>
                <w:sz w:val="24"/>
                <w:szCs w:val="24"/>
                <w:highlight w:val="yellow"/>
                <w:lang w:val="en-US" w:eastAsia="zh-CN" w:bidi="ar"/>
              </w:rPr>
              <w:t>,</w:t>
            </w:r>
            <w:r>
              <w:rPr>
                <w:rFonts w:hint="eastAsia" w:ascii="宋体" w:hAnsi="宋体" w:eastAsia="宋体" w:cs="宋体"/>
                <w:kern w:val="0"/>
                <w:sz w:val="24"/>
                <w:szCs w:val="24"/>
                <w:highlight w:val="yellow"/>
                <w:lang w:val="en-US" w:eastAsia="zh-CN" w:bidi="ar"/>
              </w:rPr>
              <w:t>支付合同总</w:t>
            </w:r>
            <w:r>
              <w:rPr>
                <w:rFonts w:hint="eastAsia" w:cs="宋体"/>
                <w:kern w:val="0"/>
                <w:sz w:val="24"/>
                <w:szCs w:val="24"/>
                <w:highlight w:val="yellow"/>
                <w:lang w:val="en-US" w:eastAsia="zh-CN" w:bidi="ar"/>
              </w:rPr>
              <w:t>价</w:t>
            </w:r>
            <w:r>
              <w:rPr>
                <w:rFonts w:hint="eastAsia" w:ascii="宋体" w:hAnsi="宋体" w:eastAsia="宋体" w:cs="宋体"/>
                <w:kern w:val="0"/>
                <w:sz w:val="24"/>
                <w:szCs w:val="24"/>
                <w:highlight w:val="yellow"/>
                <w:lang w:val="en-US" w:eastAsia="zh-CN" w:bidi="ar"/>
              </w:rPr>
              <w:t>款的30%</w:t>
            </w:r>
            <w:r>
              <w:rPr>
                <w:rFonts w:ascii="宋体" w:hAnsi="宋体" w:eastAsia="宋体" w:cs="宋体"/>
                <w:kern w:val="0"/>
                <w:sz w:val="24"/>
                <w:szCs w:val="24"/>
                <w:highlight w:val="yellow"/>
                <w:lang w:val="en-US" w:eastAsia="zh-CN" w:bidi="ar"/>
              </w:rPr>
              <w:t>。</w:t>
            </w:r>
          </w:p>
          <w:p>
            <w:pPr>
              <w:keepNext w:val="0"/>
              <w:keepLines w:val="0"/>
              <w:pageBreakBefore w:val="0"/>
              <w:kinsoku/>
              <w:wordWrap/>
              <w:overflowPunct/>
              <w:topLinePunct w:val="0"/>
              <w:autoSpaceDE w:val="0"/>
              <w:autoSpaceDN w:val="0"/>
              <w:bidi w:val="0"/>
              <w:adjustRightInd/>
              <w:snapToGrid/>
              <w:spacing w:line="360" w:lineRule="auto"/>
              <w:ind w:left="690" w:leftChars="150" w:hanging="360" w:hangingChars="150"/>
              <w:textAlignment w:val="auto"/>
              <w:rPr>
                <w:rFonts w:ascii="宋体" w:hAnsi="宋体" w:eastAsia="宋体" w:cs="宋体"/>
                <w:kern w:val="0"/>
                <w:sz w:val="24"/>
                <w:szCs w:val="24"/>
                <w:highlight w:val="yellow"/>
                <w:lang w:val="en-US" w:eastAsia="zh-CN" w:bidi="ar"/>
              </w:rPr>
            </w:pPr>
            <w:r>
              <w:rPr>
                <w:rFonts w:ascii="宋体" w:hAnsi="宋体" w:eastAsia="宋体" w:cs="宋体"/>
                <w:kern w:val="0"/>
                <w:sz w:val="24"/>
                <w:szCs w:val="24"/>
                <w:lang w:val="en-US" w:eastAsia="zh-CN" w:bidi="ar"/>
              </w:rPr>
              <w:t>2、</w:t>
            </w:r>
            <w:r>
              <w:rPr>
                <w:rFonts w:ascii="宋体" w:hAnsi="宋体" w:eastAsia="宋体" w:cs="宋体"/>
                <w:kern w:val="0"/>
                <w:sz w:val="24"/>
                <w:szCs w:val="24"/>
                <w:highlight w:val="yellow"/>
                <w:lang w:val="en-US" w:eastAsia="zh-CN" w:bidi="ar"/>
              </w:rPr>
              <w:t>2期：支付比例</w:t>
            </w:r>
            <w:r>
              <w:rPr>
                <w:rFonts w:hint="eastAsia" w:cs="宋体"/>
                <w:kern w:val="0"/>
                <w:sz w:val="24"/>
                <w:szCs w:val="24"/>
                <w:highlight w:val="yellow"/>
                <w:lang w:val="en-US" w:eastAsia="zh-CN" w:bidi="ar"/>
              </w:rPr>
              <w:t>6</w:t>
            </w:r>
            <w:r>
              <w:rPr>
                <w:rFonts w:ascii="宋体" w:hAnsi="宋体" w:eastAsia="宋体" w:cs="宋体"/>
                <w:kern w:val="0"/>
                <w:sz w:val="24"/>
                <w:szCs w:val="24"/>
                <w:highlight w:val="yellow"/>
                <w:lang w:val="en-US" w:eastAsia="zh-CN" w:bidi="ar"/>
              </w:rPr>
              <w:t>0%,</w:t>
            </w:r>
            <w:r>
              <w:rPr>
                <w:rFonts w:hint="eastAsia" w:ascii="宋体" w:hAnsi="宋体" w:eastAsia="宋体" w:cs="宋体"/>
                <w:kern w:val="0"/>
                <w:sz w:val="24"/>
                <w:szCs w:val="24"/>
                <w:highlight w:val="yellow"/>
                <w:lang w:val="en-US" w:eastAsia="zh-CN" w:bidi="ar"/>
              </w:rPr>
              <w:t>验收合格后半年内</w:t>
            </w:r>
            <w:r>
              <w:rPr>
                <w:rFonts w:hint="eastAsia" w:cs="宋体"/>
                <w:kern w:val="0"/>
                <w:sz w:val="24"/>
                <w:szCs w:val="24"/>
                <w:highlight w:val="yellow"/>
                <w:lang w:val="en-US" w:eastAsia="zh-CN" w:bidi="ar"/>
              </w:rPr>
              <w:t>,</w:t>
            </w:r>
            <w:r>
              <w:rPr>
                <w:rFonts w:hint="eastAsia" w:ascii="宋体" w:hAnsi="宋体" w:eastAsia="宋体" w:cs="宋体"/>
                <w:kern w:val="0"/>
                <w:sz w:val="24"/>
                <w:szCs w:val="24"/>
                <w:highlight w:val="yellow"/>
                <w:lang w:val="en-US" w:eastAsia="zh-CN" w:bidi="ar"/>
              </w:rPr>
              <w:t>支付合同总</w:t>
            </w:r>
            <w:r>
              <w:rPr>
                <w:rFonts w:hint="eastAsia" w:cs="宋体"/>
                <w:kern w:val="0"/>
                <w:sz w:val="24"/>
                <w:szCs w:val="24"/>
                <w:highlight w:val="yellow"/>
                <w:lang w:val="en-US" w:eastAsia="zh-CN" w:bidi="ar"/>
              </w:rPr>
              <w:t>价</w:t>
            </w:r>
            <w:r>
              <w:rPr>
                <w:rFonts w:hint="eastAsia" w:ascii="宋体" w:hAnsi="宋体" w:eastAsia="宋体" w:cs="宋体"/>
                <w:kern w:val="0"/>
                <w:sz w:val="24"/>
                <w:szCs w:val="24"/>
                <w:highlight w:val="yellow"/>
                <w:lang w:val="en-US" w:eastAsia="zh-CN" w:bidi="ar"/>
              </w:rPr>
              <w:t>款的60%</w:t>
            </w:r>
            <w:r>
              <w:rPr>
                <w:rFonts w:ascii="宋体" w:hAnsi="宋体" w:eastAsia="宋体" w:cs="宋体"/>
                <w:kern w:val="0"/>
                <w:sz w:val="24"/>
                <w:szCs w:val="24"/>
                <w:highlight w:val="yellow"/>
                <w:lang w:val="en-US" w:eastAsia="zh-CN" w:bidi="ar"/>
              </w:rPr>
              <w:t>。</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both"/>
              <w:textAlignment w:val="auto"/>
              <w:rPr>
                <w:rFonts w:hint="eastAsia" w:ascii="宋体" w:hAnsi="宋体" w:eastAsia="宋体" w:cs="宋体"/>
                <w:kern w:val="0"/>
                <w:sz w:val="24"/>
                <w:szCs w:val="24"/>
                <w:lang w:val="en-US" w:eastAsia="zh-CN" w:bidi="ar"/>
              </w:rPr>
            </w:pPr>
            <w:r>
              <w:rPr>
                <w:rFonts w:ascii="宋体" w:hAnsi="宋体" w:eastAsia="宋体" w:cs="宋体"/>
                <w:kern w:val="0"/>
                <w:sz w:val="24"/>
                <w:szCs w:val="24"/>
                <w:highlight w:val="yellow"/>
                <w:lang w:val="en-US" w:eastAsia="zh-CN" w:bidi="ar"/>
              </w:rPr>
              <w:t>3、3期：支付比例</w:t>
            </w:r>
            <w:r>
              <w:rPr>
                <w:rFonts w:hint="eastAsia" w:cs="宋体"/>
                <w:kern w:val="0"/>
                <w:sz w:val="24"/>
                <w:szCs w:val="24"/>
                <w:highlight w:val="yellow"/>
                <w:lang w:val="en-US" w:eastAsia="zh-CN" w:bidi="ar"/>
              </w:rPr>
              <w:t>1</w:t>
            </w:r>
            <w:r>
              <w:rPr>
                <w:rFonts w:ascii="宋体" w:hAnsi="宋体" w:eastAsia="宋体" w:cs="宋体"/>
                <w:kern w:val="0"/>
                <w:sz w:val="24"/>
                <w:szCs w:val="24"/>
                <w:highlight w:val="yellow"/>
                <w:lang w:val="en-US" w:eastAsia="zh-CN" w:bidi="ar"/>
              </w:rPr>
              <w:t>0%,</w:t>
            </w:r>
            <w:r>
              <w:rPr>
                <w:rFonts w:hint="eastAsia" w:ascii="宋体" w:hAnsi="宋体" w:eastAsia="宋体" w:cs="宋体"/>
                <w:kern w:val="0"/>
                <w:sz w:val="24"/>
                <w:szCs w:val="24"/>
                <w:highlight w:val="yellow"/>
                <w:lang w:val="en-US" w:eastAsia="zh-CN" w:bidi="ar"/>
              </w:rPr>
              <w:t>两年之后支付合同总</w:t>
            </w:r>
            <w:r>
              <w:rPr>
                <w:rFonts w:hint="eastAsia" w:cs="宋体"/>
                <w:kern w:val="0"/>
                <w:sz w:val="24"/>
                <w:szCs w:val="24"/>
                <w:highlight w:val="yellow"/>
                <w:lang w:val="en-US" w:eastAsia="zh-CN" w:bidi="ar"/>
              </w:rPr>
              <w:t>价</w:t>
            </w:r>
            <w:r>
              <w:rPr>
                <w:rFonts w:hint="eastAsia" w:ascii="宋体" w:hAnsi="宋体" w:eastAsia="宋体" w:cs="宋体"/>
                <w:kern w:val="0"/>
                <w:sz w:val="24"/>
                <w:szCs w:val="24"/>
                <w:highlight w:val="yellow"/>
                <w:lang w:val="en-US" w:eastAsia="zh-CN" w:bidi="ar"/>
              </w:rPr>
              <w:t>款</w:t>
            </w:r>
            <w:r>
              <w:rPr>
                <w:rFonts w:hint="eastAsia" w:cs="宋体"/>
                <w:kern w:val="0"/>
                <w:sz w:val="24"/>
                <w:szCs w:val="24"/>
                <w:highlight w:val="yellow"/>
                <w:lang w:val="en-US" w:eastAsia="zh-CN" w:bidi="ar"/>
              </w:rPr>
              <w:t>剩余</w:t>
            </w:r>
            <w:r>
              <w:rPr>
                <w:rFonts w:hint="eastAsia" w:ascii="宋体" w:hAnsi="宋体" w:eastAsia="宋体" w:cs="宋体"/>
                <w:kern w:val="0"/>
                <w:sz w:val="24"/>
                <w:szCs w:val="24"/>
                <w:highlight w:val="yellow"/>
                <w:lang w:val="en-US" w:eastAsia="zh-CN" w:bidi="ar"/>
              </w:rPr>
              <w:t>的10%</w:t>
            </w:r>
            <w:r>
              <w:rPr>
                <w:rFonts w:ascii="宋体" w:hAnsi="宋体" w:eastAsia="宋体" w:cs="宋体"/>
                <w:kern w:val="0"/>
                <w:sz w:val="24"/>
                <w:szCs w:val="24"/>
                <w:highlight w:val="yellow"/>
                <w:lang w:val="en-US" w:eastAsia="zh-CN" w:bidi="ar"/>
              </w:rPr>
              <w:t>。</w:t>
            </w:r>
            <w:bookmarkStart w:id="129" w:name="_GoBack"/>
            <w:bookmarkEnd w:id="1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5000" w:type="pct"/>
            <w:gridSpan w:val="5"/>
            <w:tcBorders>
              <w:bottom w:val="single" w:color="auto" w:sz="4" w:space="0"/>
            </w:tcBorders>
            <w:vAlign w:val="center"/>
          </w:tcPr>
          <w:p>
            <w:pPr>
              <w:pStyle w:val="19"/>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cs="宋体"/>
                <w:b/>
                <w:bCs/>
                <w:spacing w:val="0"/>
                <w:kern w:val="0"/>
                <w:sz w:val="24"/>
                <w:szCs w:val="24"/>
                <w:lang w:val="en-US" w:eastAsia="zh-CN" w:bidi="zh-CN"/>
              </w:rPr>
              <w:t>（四）履约保证金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59" w:right="110" w:rightChars="50"/>
              <w:jc w:val="center"/>
              <w:textAlignment w:val="auto"/>
              <w:rPr>
                <w:rFonts w:hint="eastAsia" w:ascii="宋体" w:hAnsi="宋体" w:eastAsia="宋体" w:cs="宋体"/>
                <w:spacing w:val="0"/>
                <w:kern w:val="0"/>
                <w:sz w:val="24"/>
                <w:szCs w:val="24"/>
                <w:lang w:val="en-US" w:eastAsia="zh-CN" w:bidi="zh-CN"/>
              </w:rPr>
            </w:pPr>
            <w: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59" w:right="110" w:rightChars="50"/>
              <w:jc w:val="center"/>
              <w:textAlignment w:val="auto"/>
            </w:pPr>
            <w:r>
              <w:rPr>
                <w:rFonts w:hint="eastAsia" w:cs="宋体"/>
                <w:b/>
                <w:bCs/>
                <w:spacing w:val="0"/>
                <w:kern w:val="0"/>
                <w:sz w:val="24"/>
                <w:szCs w:val="24"/>
                <w:lang w:val="en-US" w:eastAsia="zh-CN" w:bidi="zh-CN"/>
              </w:rPr>
              <w:t>（五）其他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59" w:right="110" w:rightChars="50"/>
              <w:jc w:val="left"/>
              <w:textAlignment w:val="auto"/>
              <w:rPr>
                <w:rFonts w:hint="eastAsia" w:eastAsia="宋体" w:cs="宋体"/>
                <w:b/>
                <w:bCs/>
                <w:spacing w:val="0"/>
                <w:kern w:val="0"/>
                <w:sz w:val="24"/>
                <w:szCs w:val="24"/>
                <w:lang w:val="en-US" w:eastAsia="zh-CN" w:bidi="zh-CN"/>
              </w:rPr>
            </w:pPr>
            <w:r>
              <w:rPr>
                <w:b/>
                <w:bCs/>
              </w:rPr>
              <w:t>项目实施要求</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7" w:hRule="atLeast"/>
          <w:jc w:val="center"/>
        </w:trPr>
        <w:tc>
          <w:tcPr>
            <w:tcW w:w="5000" w:type="pct"/>
            <w:gridSpan w:val="5"/>
            <w:tcBorders>
              <w:bottom w:val="single" w:color="auto" w:sz="4" w:space="0"/>
            </w:tcBorders>
            <w:vAlign w:val="center"/>
          </w:tcPr>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90" w:leftChars="150" w:right="0" w:rightChars="0" w:hanging="360" w:hangingChars="150"/>
              <w:jc w:val="both"/>
              <w:textAlignment w:val="auto"/>
              <w:rPr>
                <w:rFonts w:ascii="宋体" w:hAnsi="宋体" w:eastAsia="宋体" w:cs="宋体"/>
                <w:kern w:val="0"/>
                <w:sz w:val="24"/>
                <w:szCs w:val="24"/>
                <w:highlight w:val="yellow"/>
                <w:lang w:val="en-US" w:eastAsia="zh-CN" w:bidi="ar"/>
              </w:rPr>
            </w:pPr>
            <w:r>
              <w:rPr>
                <w:rFonts w:ascii="宋体" w:hAnsi="宋体" w:eastAsia="宋体" w:cs="宋体"/>
                <w:kern w:val="0"/>
                <w:sz w:val="24"/>
                <w:szCs w:val="24"/>
                <w:highlight w:val="yellow"/>
                <w:lang w:val="en-US" w:eastAsia="zh-CN" w:bidi="ar"/>
              </w:rPr>
              <w:t>在6个月</w:t>
            </w:r>
            <w:r>
              <w:rPr>
                <w:rFonts w:hint="eastAsia" w:ascii="宋体" w:hAnsi="宋体" w:eastAsia="宋体" w:cs="宋体"/>
                <w:kern w:val="0"/>
                <w:sz w:val="24"/>
                <w:szCs w:val="24"/>
                <w:highlight w:val="yellow"/>
                <w:lang w:val="en-US" w:eastAsia="zh-CN" w:bidi="ar"/>
              </w:rPr>
              <w:t>内</w:t>
            </w:r>
            <w:r>
              <w:rPr>
                <w:rFonts w:ascii="宋体" w:hAnsi="宋体" w:eastAsia="宋体" w:cs="宋体"/>
                <w:kern w:val="0"/>
                <w:sz w:val="24"/>
                <w:szCs w:val="24"/>
                <w:highlight w:val="yellow"/>
                <w:lang w:val="en-US" w:eastAsia="zh-CN" w:bidi="ar"/>
              </w:rPr>
              <w:t>完成系统上线。</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90" w:leftChars="150" w:right="0" w:rightChars="0" w:hanging="360" w:hangingChars="150"/>
              <w:jc w:val="both"/>
              <w:textAlignment w:val="auto"/>
              <w:rPr>
                <w:rFonts w:ascii="宋体" w:hAnsi="宋体" w:eastAsia="宋体" w:cs="宋体"/>
                <w:kern w:val="0"/>
                <w:sz w:val="24"/>
                <w:szCs w:val="24"/>
                <w:highlight w:val="yellow"/>
                <w:lang w:val="en-US" w:eastAsia="zh-CN" w:bidi="ar"/>
              </w:rPr>
            </w:pPr>
            <w:r>
              <w:rPr>
                <w:rFonts w:ascii="宋体" w:hAnsi="宋体" w:eastAsia="宋体" w:cs="宋体"/>
                <w:kern w:val="0"/>
                <w:sz w:val="24"/>
                <w:szCs w:val="24"/>
                <w:highlight w:val="yellow"/>
                <w:lang w:val="en-US" w:eastAsia="zh-CN" w:bidi="ar"/>
              </w:rPr>
              <w:t>对项目实施的各个阶段：需求分析阶段、系统实施阶段、系统培训阶段、系统初验测试阶段、系统试运行阶段、系统终验阶段，对项目各阶段做出详细计划。</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90" w:leftChars="150" w:right="0" w:rightChars="0" w:hanging="360" w:hangingChars="150"/>
              <w:jc w:val="both"/>
              <w:textAlignment w:val="auto"/>
              <w:rPr>
                <w:rFonts w:hint="eastAsia" w:ascii="宋体" w:hAnsi="宋体" w:eastAsia="宋体" w:cs="宋体"/>
                <w:kern w:val="0"/>
                <w:sz w:val="24"/>
                <w:szCs w:val="24"/>
                <w:highlight w:val="yellow"/>
                <w:lang w:val="en-US" w:eastAsia="zh-CN" w:bidi="ar"/>
              </w:rPr>
            </w:pPr>
            <w:r>
              <w:rPr>
                <w:rFonts w:hint="eastAsia" w:ascii="宋体" w:hAnsi="宋体" w:eastAsia="宋体" w:cs="宋体"/>
                <w:kern w:val="0"/>
                <w:sz w:val="24"/>
                <w:szCs w:val="24"/>
                <w:highlight w:val="yellow"/>
                <w:lang w:val="en-US" w:eastAsia="zh-CN" w:bidi="ar"/>
              </w:rPr>
              <w:t>成立合理的组织机构，建立健全保障项目顺利实施的各项管理制度和质量保证体系，安排好足够的实施工程师参加本项目的建设。</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360" w:lineRule="auto"/>
              <w:ind w:left="810" w:leftChars="150" w:right="0" w:rightChars="0" w:hanging="480" w:hangingChars="200"/>
              <w:jc w:val="left"/>
              <w:textAlignment w:val="auto"/>
              <w:rPr>
                <w:rFonts w:hint="eastAsia"/>
                <w:sz w:val="24"/>
                <w:szCs w:val="24"/>
                <w:highlight w:val="yellow"/>
              </w:rPr>
            </w:pPr>
            <w:r>
              <w:rPr>
                <w:rFonts w:hint="eastAsia"/>
                <w:sz w:val="24"/>
                <w:szCs w:val="24"/>
                <w:highlight w:val="yellow"/>
              </w:rPr>
              <w:t>项目药学实施人员团队不少于2人具备执业药师资格证书；</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360" w:lineRule="auto"/>
              <w:ind w:left="810" w:leftChars="150" w:right="0" w:rightChars="0" w:hanging="480" w:hangingChars="200"/>
              <w:jc w:val="left"/>
              <w:textAlignment w:val="auto"/>
              <w:rPr>
                <w:rFonts w:hint="eastAsia"/>
                <w:sz w:val="24"/>
                <w:szCs w:val="24"/>
                <w:highlight w:val="yellow"/>
              </w:rPr>
            </w:pPr>
            <w:r>
              <w:rPr>
                <w:rFonts w:hint="eastAsia"/>
                <w:sz w:val="24"/>
                <w:szCs w:val="24"/>
                <w:highlight w:val="yellow"/>
              </w:rPr>
              <w:t>项目负责人同时具备项目管理师PMP 证书、高级软件工程师证书的且具备3年同类项目实施经验</w:t>
            </w:r>
            <w:r>
              <w:rPr>
                <w:rFonts w:hint="eastAsia" w:ascii="宋体" w:hAnsi="宋体" w:eastAsia="宋体" w:cs="宋体"/>
                <w:sz w:val="24"/>
                <w:szCs w:val="24"/>
                <w:highlight w:val="yellow"/>
              </w:rPr>
              <w:t>。</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360" w:lineRule="auto"/>
              <w:ind w:left="810" w:leftChars="150" w:right="0" w:rightChars="0" w:hanging="480" w:hangingChars="200"/>
              <w:jc w:val="left"/>
              <w:textAlignment w:val="auto"/>
              <w:rPr>
                <w:rFonts w:hint="eastAsia"/>
                <w:sz w:val="24"/>
                <w:szCs w:val="24"/>
                <w:highlight w:val="yellow"/>
              </w:rPr>
            </w:pPr>
            <w:r>
              <w:rPr>
                <w:rFonts w:hint="eastAsia"/>
                <w:sz w:val="24"/>
                <w:szCs w:val="24"/>
                <w:highlight w:val="yellow"/>
              </w:rPr>
              <w:t>项目技术负责人员应具备计算机相关行业专业、ITIL 4 服务管理认证且获得市级及以上软件行业协会颁发的优秀软件人才。</w:t>
            </w:r>
          </w:p>
          <w:p>
            <w:pPr>
              <w:pStyle w:val="20"/>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10" w:leftChars="150" w:right="110" w:rightChars="50" w:hanging="480" w:hangingChars="200"/>
              <w:jc w:val="left"/>
              <w:textAlignment w:val="auto"/>
              <w:rPr>
                <w:rFonts w:ascii="宋体" w:hAnsi="宋体" w:eastAsia="宋体" w:cs="宋体"/>
                <w:b/>
                <w:bCs/>
                <w:spacing w:val="0"/>
                <w:kern w:val="0"/>
                <w:sz w:val="24"/>
                <w:szCs w:val="24"/>
                <w:lang w:val="zh-CN" w:eastAsia="zh-CN" w:bidi="zh-CN"/>
              </w:rPr>
            </w:pPr>
            <w:r>
              <w:rPr>
                <w:rFonts w:hint="eastAsia"/>
                <w:sz w:val="24"/>
                <w:szCs w:val="24"/>
                <w:highlight w:val="yellow"/>
              </w:rPr>
              <w:t>项目药学实施人员具有药学（或中药学）相关专业且具备PMP项目管理工程师、具有处方审核能力，ITIL 4 服务管理认证</w:t>
            </w:r>
            <w:r>
              <w:rPr>
                <w:rFonts w:hint="eastAsia"/>
                <w:sz w:val="24"/>
                <w:szCs w:val="24"/>
                <w:highlight w:val="yellow"/>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20" w:leftChars="100" w:right="110" w:rightChars="50"/>
              <w:jc w:val="left"/>
              <w:textAlignment w:val="auto"/>
              <w:rPr>
                <w:rFonts w:hint="eastAsia" w:eastAsia="宋体"/>
                <w:lang w:eastAsia="zh-CN"/>
              </w:rPr>
            </w:pPr>
            <w:r>
              <w:rPr>
                <w:b/>
                <w:bCs/>
              </w:rPr>
              <w:t>售后服务要求</w:t>
            </w:r>
            <w:r>
              <w:rPr>
                <w:rFonts w:hint="eastAsia"/>
                <w:b/>
                <w:bC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5"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highlight w:val="yellow"/>
              </w:rPr>
            </w:pPr>
            <w:r>
              <w:rPr>
                <w:rFonts w:hint="eastAsia"/>
                <w:highlight w:val="yellow"/>
              </w:rPr>
              <w:t>拥有专业的技术支持团队</w:t>
            </w:r>
            <w:r>
              <w:rPr>
                <w:rFonts w:hint="eastAsia"/>
                <w:highlight w:val="yellow"/>
                <w:lang w:eastAsia="zh-CN"/>
              </w:rPr>
              <w:t>以及药学服务团队</w:t>
            </w:r>
            <w:r>
              <w:rPr>
                <w:rFonts w:hint="eastAsia"/>
                <w:highlight w:val="yellow"/>
              </w:rPr>
              <w:t>，能够对产品的后期运维提供支持</w:t>
            </w:r>
            <w:r>
              <w:rPr>
                <w:rFonts w:hint="eastAsia"/>
                <w:highlight w:val="yellow"/>
                <w:lang w:val="en-US" w:eastAsia="zh-CN"/>
              </w:rPr>
              <w:t>:</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highlight w:val="yellow"/>
              </w:rPr>
            </w:pPr>
            <w:r>
              <w:rPr>
                <w:rFonts w:hint="eastAsia"/>
                <w:highlight w:val="yellow"/>
              </w:rPr>
              <w:t>提供详细的服务计划和服务承诺。在服务计划中要从服务人员配置、服务流程、服务文档种类、服务响应时间等几个方面进行明确的说明。</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highlight w:val="yellow"/>
              </w:rPr>
            </w:pPr>
            <w:r>
              <w:rPr>
                <w:rFonts w:hint="eastAsia"/>
                <w:highlight w:val="yellow"/>
              </w:rPr>
              <w:t>提供一年质量保证期的免费维护和技术支持，质量保证期从系统最终验收之日起计算。</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highlight w:val="yellow"/>
              </w:rPr>
            </w:pPr>
            <w:r>
              <w:rPr>
                <w:rFonts w:hint="eastAsia"/>
                <w:highlight w:val="yellow"/>
              </w:rPr>
              <w:t>同时具有7×24小时的技术支持能力以及优先服务级别。</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rPr>
                <w:rFonts w:hint="eastAsia"/>
                <w:highlight w:val="yellow"/>
              </w:rPr>
            </w:pPr>
            <w:r>
              <w:rPr>
                <w:rFonts w:hint="eastAsia"/>
                <w:highlight w:val="yellow"/>
              </w:rPr>
              <w:t>技术支持的方式包括：电话技术服务（如：提供免费技术服务热线）、现场技术服务、定期巡查服务等。</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pPr>
            <w:r>
              <w:rPr>
                <w:rFonts w:hint="eastAsia"/>
                <w:highlight w:val="yellow"/>
              </w:rPr>
              <w:t>质量保证期内，由于在系统设计、开发等技术和质量问题而产生故障影响系统正常运转，以及用户无法处理的主要问题，免费提供维护服务，及时解决系统中存在的各种问题和应用问题。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100" w:right="110" w:rightChars="50"/>
              <w:jc w:val="left"/>
              <w:textAlignment w:val="auto"/>
              <w:rPr>
                <w:rFonts w:hint="eastAsia" w:eastAsia="宋体"/>
                <w:lang w:eastAsia="zh-CN"/>
              </w:rPr>
            </w:pPr>
            <w:r>
              <w:rPr>
                <w:b/>
                <w:bCs/>
              </w:rPr>
              <w:t>培训要求</w:t>
            </w:r>
            <w:r>
              <w:rPr>
                <w:rFonts w:hint="eastAsia"/>
                <w:b/>
                <w:bC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pPr>
            <w:r>
              <w:t>从合同签订开始，供应商相关技术人员免费对采购人应用科室骨干进行分期、分批的各种技术培训。根据不同专业、不同管理要求对科室负责人及所有上岗操作使用人员进行系统主要功能、系统操作使用方法、系统工作流程培训。通过培训，使他们较好的掌握应用软件的使用方法，熟悉系统工作流程，基本达到了数据录入准确、及时、迅速的要求。</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pPr>
            <w:r>
              <w:t>培训对象包括系统管理员、管理人员、操作员</w:t>
            </w:r>
            <w:r>
              <w:rPr>
                <w:highlight w:val="yellow"/>
              </w:rPr>
              <w:t>(</w:t>
            </w:r>
            <w:r>
              <w:rPr>
                <w:rFonts w:hint="eastAsia"/>
                <w:highlight w:val="yellow"/>
                <w:lang w:val="en-US" w:eastAsia="zh-CN"/>
              </w:rPr>
              <w:t>临床药师、药剂师</w:t>
            </w:r>
            <w:r>
              <w:rPr>
                <w:highlight w:val="yellow"/>
              </w:rPr>
              <w:t>)</w:t>
            </w:r>
            <w:r>
              <w:t>等。</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690" w:leftChars="150" w:right="110" w:rightChars="50" w:hanging="360" w:hangingChars="150"/>
              <w:jc w:val="left"/>
              <w:textAlignment w:val="auto"/>
            </w:pPr>
            <w:r>
              <w:t>培训计划:包括系统管理员的培训、操作骨干的培训和操作人员的培训方法和内容。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5000" w:type="pct"/>
            <w:gridSpan w:val="5"/>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100" w:right="110" w:rightChars="50"/>
              <w:jc w:val="left"/>
              <w:textAlignment w:val="auto"/>
            </w:pPr>
            <w:r>
              <w:rPr>
                <w:rFonts w:hint="eastAsia"/>
                <w:b/>
                <w:bCs/>
                <w:lang w:val="en-US" w:eastAsia="zh-CN"/>
              </w:rPr>
              <w:t>建设目的</w:t>
            </w:r>
            <w:r>
              <w:rPr>
                <w:rFonts w:hint="eastAsia"/>
                <w:b/>
                <w:bC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5000" w:type="pct"/>
            <w:gridSpan w:val="5"/>
            <w:tcBorders>
              <w:bottom w:val="single" w:color="auto" w:sz="4" w:space="0"/>
            </w:tcBorders>
            <w:vAlign w:val="center"/>
          </w:tcPr>
          <w:p>
            <w:pPr>
              <w:numPr>
                <w:ilvl w:val="0"/>
                <w:numId w:val="0"/>
              </w:numPr>
              <w:bidi w:val="0"/>
              <w:spacing w:line="360" w:lineRule="auto"/>
              <w:rPr>
                <w:rFonts w:ascii="宋体" w:hAnsi="宋体" w:eastAsia="宋体" w:cs="宋体"/>
                <w:kern w:val="0"/>
                <w:sz w:val="24"/>
                <w:szCs w:val="22"/>
                <w:lang w:val="en-US" w:eastAsia="zh-CN" w:bidi="ar"/>
              </w:rPr>
            </w:pPr>
            <w:r>
              <w:rPr>
                <w:rFonts w:hint="eastAsia" w:cs="宋体"/>
                <w:kern w:val="0"/>
                <w:sz w:val="24"/>
                <w:szCs w:val="22"/>
                <w:lang w:val="en-US" w:eastAsia="zh-CN" w:bidi="ar"/>
              </w:rPr>
              <w:t>1、</w:t>
            </w:r>
            <w:r>
              <w:rPr>
                <w:rFonts w:ascii="宋体" w:hAnsi="宋体" w:eastAsia="宋体" w:cs="宋体"/>
                <w:kern w:val="0"/>
                <w:sz w:val="24"/>
                <w:szCs w:val="22"/>
                <w:lang w:val="en-US" w:eastAsia="zh-CN" w:bidi="ar"/>
              </w:rPr>
              <w:t>医院药品管控与药师审方的现状：</w:t>
            </w:r>
          </w:p>
          <w:p>
            <w:pPr>
              <w:numPr>
                <w:ilvl w:val="0"/>
                <w:numId w:val="18"/>
              </w:numPr>
              <w:bidi w:val="0"/>
              <w:spacing w:line="360" w:lineRule="auto"/>
              <w:ind w:left="425" w:hanging="425" w:firstLineChars="0"/>
              <w:rPr>
                <w:rFonts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处方量大，药师审方时间短，审核效率低；</w:t>
            </w:r>
          </w:p>
          <w:p>
            <w:pPr>
              <w:numPr>
                <w:ilvl w:val="0"/>
                <w:numId w:val="18"/>
              </w:numPr>
              <w:bidi w:val="0"/>
              <w:spacing w:line="360" w:lineRule="auto"/>
              <w:ind w:left="425" w:hanging="425" w:firstLineChars="0"/>
              <w:rPr>
                <w:rFonts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药师审方能力及审核标准不统一，发现问题有限；</w:t>
            </w:r>
          </w:p>
          <w:p>
            <w:pPr>
              <w:numPr>
                <w:ilvl w:val="0"/>
                <w:numId w:val="18"/>
              </w:numPr>
              <w:bidi w:val="0"/>
              <w:spacing w:line="360" w:lineRule="auto"/>
              <w:ind w:left="425" w:hanging="425" w:firstLineChars="0"/>
              <w:rPr>
                <w:rFonts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处方审核缺少标准知识库，过度依赖审方药师个人知识储备；</w:t>
            </w:r>
          </w:p>
          <w:p>
            <w:pPr>
              <w:numPr>
                <w:ilvl w:val="0"/>
                <w:numId w:val="18"/>
              </w:numPr>
              <w:bidi w:val="0"/>
              <w:spacing w:line="360" w:lineRule="auto"/>
              <w:ind w:left="425" w:hanging="425" w:firstLineChars="0"/>
              <w:rPr>
                <w:rFonts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药师不清楚患者情况，在发药前的短暂时间内很难细致、全面地对处方中各项用药的合理性进行审核，这可能导致不少不合理处方被忽略，给患者用药带来风险。</w:t>
            </w:r>
          </w:p>
          <w:p>
            <w:pPr>
              <w:numPr>
                <w:ilvl w:val="0"/>
                <w:numId w:val="0"/>
              </w:numPr>
              <w:bidi w:val="0"/>
              <w:spacing w:line="360" w:lineRule="auto"/>
              <w:ind w:firstLine="0" w:firstLineChars="0"/>
              <w:rPr>
                <w:rFonts w:ascii="宋体" w:hAnsi="宋体" w:eastAsia="宋体" w:cs="宋体"/>
                <w:kern w:val="0"/>
                <w:sz w:val="24"/>
                <w:szCs w:val="22"/>
                <w:lang w:val="en-US" w:eastAsia="zh-CN" w:bidi="ar"/>
              </w:rPr>
            </w:pPr>
            <w:r>
              <w:rPr>
                <w:rFonts w:hint="eastAsia" w:cs="宋体"/>
                <w:kern w:val="0"/>
                <w:sz w:val="24"/>
                <w:szCs w:val="22"/>
                <w:lang w:val="en-US" w:eastAsia="zh-CN" w:bidi="ar"/>
              </w:rPr>
              <w:t>2、</w:t>
            </w:r>
            <w:r>
              <w:rPr>
                <w:rFonts w:ascii="宋体" w:hAnsi="宋体" w:eastAsia="宋体" w:cs="宋体"/>
                <w:kern w:val="0"/>
                <w:sz w:val="24"/>
                <w:szCs w:val="22"/>
                <w:lang w:val="en-US" w:eastAsia="zh-CN" w:bidi="ar"/>
              </w:rPr>
              <w:t>建设意义：</w:t>
            </w:r>
          </w:p>
          <w:p>
            <w:pPr>
              <w:numPr>
                <w:ilvl w:val="0"/>
                <w:numId w:val="19"/>
              </w:numPr>
              <w:bidi w:val="0"/>
              <w:spacing w:line="360" w:lineRule="auto"/>
              <w:ind w:left="425" w:hanging="425" w:firstLineChars="0"/>
              <w:rPr>
                <w:rFonts w:ascii="宋体" w:hAnsi="宋体" w:eastAsia="宋体" w:cs="宋体"/>
                <w:kern w:val="0"/>
                <w:sz w:val="24"/>
                <w:szCs w:val="22"/>
                <w:lang w:val="en-US" w:eastAsia="zh-CN" w:bidi="ar"/>
              </w:rPr>
            </w:pPr>
            <w:bookmarkStart w:id="12" w:name="bookmark30"/>
            <w:bookmarkEnd w:id="12"/>
            <w:r>
              <w:rPr>
                <w:rFonts w:ascii="宋体" w:hAnsi="宋体" w:eastAsia="宋体" w:cs="宋体"/>
                <w:kern w:val="0"/>
                <w:sz w:val="24"/>
                <w:szCs w:val="22"/>
                <w:lang w:val="en-US" w:eastAsia="zh-CN" w:bidi="ar"/>
              </w:rPr>
              <w:t>建立合理用药管理与审方中心，是实现医院科学合理药品管理与处方/医嘱前置审核的必要条件。</w:t>
            </w:r>
          </w:p>
          <w:p>
            <w:pPr>
              <w:bidi w:val="0"/>
              <w:spacing w:line="360" w:lineRule="auto"/>
              <w:ind w:firstLine="480" w:firstLineChars="200"/>
              <w:rPr>
                <w:rFonts w:ascii="宋体" w:hAnsi="宋体" w:eastAsia="宋体" w:cs="宋体"/>
                <w:kern w:val="0"/>
                <w:sz w:val="24"/>
                <w:szCs w:val="22"/>
                <w:lang w:val="en-US" w:eastAsia="zh-CN" w:bidi="ar"/>
              </w:rPr>
            </w:pPr>
            <w:r>
              <w:rPr>
                <w:rFonts w:ascii="宋体" w:hAnsi="宋体" w:eastAsia="宋体" w:cs="宋体"/>
                <w:kern w:val="0"/>
                <w:sz w:val="24"/>
                <w:szCs w:val="22"/>
                <w:lang w:val="en-US" w:eastAsia="zh-CN" w:bidi="ar"/>
              </w:rPr>
              <w:t>处方审核是指药学专业技术人员运用专业知识与实践技能，根据相关法律法规、规章制度与技术规范等，对医师在诊疗活动中为患者开具的处方，进行合法性、 规范性和适宜性审核，并作出是否同意调配发药决定的药学技术服务。《医疗机构处方审核规范》明确指出：各级医疗机构应通过相关信息系统辅助药师开展处方审核。对信息系统筛选出的不合理处方及信息系统不能审核的部分，由药师进行人工审核。审方中心为药师审方提供处方/医嘱审核的必要信息，包含电子处方，以及医学相关检査、检验学资料、现病史、既往史、用药史、过敏史等电子病历信息</w:t>
            </w:r>
            <w:r>
              <w:rPr>
                <w:rFonts w:hint="eastAsia" w:ascii="宋体" w:hAnsi="宋体" w:eastAsia="宋体" w:cs="宋体"/>
                <w:kern w:val="0"/>
                <w:sz w:val="24"/>
                <w:szCs w:val="22"/>
                <w:lang w:val="en-US" w:eastAsia="zh-CN" w:bidi="ar"/>
              </w:rPr>
              <w:t>，</w:t>
            </w:r>
            <w:r>
              <w:rPr>
                <w:rFonts w:ascii="宋体" w:hAnsi="宋体" w:eastAsia="宋体" w:cs="宋体"/>
                <w:kern w:val="0"/>
                <w:sz w:val="24"/>
                <w:szCs w:val="22"/>
                <w:lang w:val="en-US" w:eastAsia="zh-CN" w:bidi="ar"/>
              </w:rPr>
              <w:t>是实现处方前置审核的必要条件。</w:t>
            </w:r>
          </w:p>
          <w:p>
            <w:pPr>
              <w:numPr>
                <w:ilvl w:val="0"/>
                <w:numId w:val="19"/>
              </w:numPr>
              <w:bidi w:val="0"/>
              <w:spacing w:line="360" w:lineRule="auto"/>
              <w:ind w:left="425" w:leftChars="0" w:hanging="425" w:firstLineChars="0"/>
              <w:rPr>
                <w:rFonts w:ascii="宋体" w:hAnsi="宋体" w:eastAsia="宋体" w:cs="宋体"/>
                <w:kern w:val="0"/>
                <w:sz w:val="24"/>
                <w:szCs w:val="22"/>
                <w:lang w:val="en-US" w:eastAsia="zh-CN" w:bidi="ar"/>
              </w:rPr>
            </w:pPr>
            <w:bookmarkStart w:id="13" w:name="bookmark31"/>
            <w:bookmarkEnd w:id="13"/>
            <w:r>
              <w:rPr>
                <w:rFonts w:ascii="宋体" w:hAnsi="宋体" w:eastAsia="宋体" w:cs="宋体"/>
                <w:kern w:val="0"/>
                <w:sz w:val="24"/>
                <w:szCs w:val="22"/>
                <w:lang w:val="en-US" w:eastAsia="zh-CN" w:bidi="ar"/>
              </w:rPr>
              <w:t>完善知识库，是开展药品管理与事前处方/医嘱审核的核心。</w:t>
            </w:r>
          </w:p>
          <w:p>
            <w:pPr>
              <w:bidi w:val="0"/>
              <w:spacing w:line="360" w:lineRule="auto"/>
              <w:ind w:firstLine="480" w:firstLineChars="200"/>
              <w:rPr>
                <w:rFonts w:ascii="宋体" w:hAnsi="宋体" w:eastAsia="宋体" w:cs="宋体"/>
                <w:kern w:val="0"/>
                <w:sz w:val="24"/>
                <w:szCs w:val="22"/>
                <w:lang w:val="en-US" w:eastAsia="zh-CN" w:bidi="ar"/>
              </w:rPr>
            </w:pPr>
            <w:r>
              <w:rPr>
                <w:rFonts w:ascii="宋体" w:hAnsi="宋体" w:eastAsia="宋体" w:cs="宋体"/>
                <w:kern w:val="0"/>
                <w:sz w:val="24"/>
                <w:szCs w:val="22"/>
                <w:lang w:val="en-US" w:eastAsia="zh-CN" w:bidi="ar"/>
              </w:rPr>
              <w:t>通过对药品使用规则库的统一维护、持续改进，实现了对各医疗单位合理用药的同质化管理及扁平化管理。同时《医疗机构处方审核规范》要求：信息系统内置审方规则应当由医疗机构制定或经医疗机构审核确认，并有明确的临床用药依据来源。审方知识库是处方/医嘱审核的核心，在合理用药管控规则基础上，完善审方知识库，是开展事前处方/医嘱审核的核心。</w:t>
            </w:r>
          </w:p>
          <w:p>
            <w:pPr>
              <w:numPr>
                <w:ilvl w:val="0"/>
                <w:numId w:val="19"/>
              </w:numPr>
              <w:bidi w:val="0"/>
              <w:spacing w:line="360" w:lineRule="auto"/>
              <w:ind w:left="425" w:leftChars="0" w:hanging="425" w:firstLineChars="0"/>
              <w:rPr>
                <w:rFonts w:ascii="宋体" w:hAnsi="宋体" w:eastAsia="宋体" w:cs="宋体"/>
                <w:kern w:val="0"/>
                <w:sz w:val="24"/>
                <w:szCs w:val="22"/>
                <w:lang w:val="en-US" w:eastAsia="zh-CN" w:bidi="ar"/>
              </w:rPr>
            </w:pPr>
            <w:bookmarkStart w:id="14" w:name="bookmark32"/>
            <w:bookmarkEnd w:id="14"/>
            <w:r>
              <w:rPr>
                <w:rFonts w:ascii="宋体" w:hAnsi="宋体" w:eastAsia="宋体" w:cs="宋体"/>
                <w:kern w:val="0"/>
                <w:sz w:val="24"/>
                <w:szCs w:val="22"/>
                <w:lang w:val="en-US" w:eastAsia="zh-CN" w:bidi="ar"/>
              </w:rPr>
              <w:t>严格制定审方药师的业务准则，是建立长效稳定的审方药师培养制度，提高处方审核质量的重要因素。</w:t>
            </w:r>
          </w:p>
          <w:p>
            <w:pPr>
              <w:bidi w:val="0"/>
              <w:spacing w:line="360" w:lineRule="auto"/>
              <w:ind w:firstLine="480" w:firstLineChars="200"/>
              <w:rPr>
                <w:rFonts w:ascii="宋体" w:hAnsi="宋体" w:eastAsia="宋体" w:cs="宋体"/>
                <w:kern w:val="0"/>
                <w:sz w:val="24"/>
                <w:szCs w:val="22"/>
                <w:lang w:val="en-US" w:eastAsia="zh-CN" w:bidi="ar"/>
              </w:rPr>
            </w:pPr>
            <w:r>
              <w:rPr>
                <w:rFonts w:ascii="宋体" w:hAnsi="宋体" w:eastAsia="宋体" w:cs="宋体"/>
                <w:kern w:val="0"/>
                <w:sz w:val="24"/>
                <w:szCs w:val="22"/>
                <w:lang w:val="en-US" w:eastAsia="zh-CN" w:bidi="ar"/>
              </w:rPr>
              <w:t>临床医学知识如浩瀚之海，随着科学的发展而更新迭代。药物始终与疾病关联，只有充分了解疾病，才能更好把控合理用药这扇大门。药师是处方审核工作的第一责任人，应对处方各项内容进行逐一审核。对合理用药管理系统筛选出的不合理处方及不能审核的部分，应当由药师进行人工审核。严格制定审方药师的业务准则，提高审方药师重要性的认识力度和扩大审方药师队伍，从而整体上提高审方药师队伍的素质和业务能力，是建立长效稳定的审方药师培养制度，提高处方审核质量的重要因素。</w:t>
            </w:r>
          </w:p>
          <w:p>
            <w:pPr>
              <w:numPr>
                <w:ilvl w:val="0"/>
                <w:numId w:val="19"/>
              </w:numPr>
              <w:bidi w:val="0"/>
              <w:spacing w:line="360" w:lineRule="auto"/>
              <w:ind w:left="425" w:leftChars="0" w:hanging="425" w:firstLineChars="0"/>
              <w:rPr>
                <w:rFonts w:ascii="宋体" w:hAnsi="宋体" w:eastAsia="宋体" w:cs="宋体"/>
                <w:kern w:val="0"/>
                <w:sz w:val="24"/>
                <w:szCs w:val="22"/>
                <w:lang w:val="en-US" w:eastAsia="zh-CN" w:bidi="ar"/>
              </w:rPr>
            </w:pPr>
            <w:bookmarkStart w:id="15" w:name="bookmark33"/>
            <w:bookmarkEnd w:id="15"/>
            <w:r>
              <w:rPr>
                <w:rFonts w:ascii="宋体" w:hAnsi="宋体" w:eastAsia="宋体" w:cs="宋体"/>
                <w:kern w:val="0"/>
                <w:sz w:val="24"/>
                <w:szCs w:val="22"/>
                <w:lang w:val="en-US" w:eastAsia="zh-CN" w:bidi="ar"/>
              </w:rPr>
              <w:t>建立处方审核质量监测指标体系，是完善审方标准的重要环节。</w:t>
            </w:r>
          </w:p>
          <w:p>
            <w:pPr>
              <w:bidi w:val="0"/>
              <w:spacing w:line="360" w:lineRule="auto"/>
              <w:ind w:firstLine="480" w:firstLineChars="200"/>
              <w:rPr>
                <w:rFonts w:ascii="宋体" w:hAnsi="宋体" w:eastAsia="宋体" w:cs="宋体"/>
                <w:kern w:val="0"/>
                <w:sz w:val="24"/>
                <w:szCs w:val="22"/>
                <w:lang w:val="en-US" w:eastAsia="zh-CN" w:bidi="ar"/>
              </w:rPr>
            </w:pPr>
            <w:r>
              <w:rPr>
                <w:rFonts w:ascii="宋体" w:hAnsi="宋体" w:eastAsia="宋体" w:cs="宋体"/>
                <w:kern w:val="0"/>
                <w:sz w:val="24"/>
                <w:szCs w:val="22"/>
                <w:lang w:val="en-US" w:eastAsia="zh-CN" w:bidi="ar"/>
              </w:rPr>
              <w:t>处方审核质量管理以医疗机构监测评价为主，以行政部门</w:t>
            </w:r>
            <w:r>
              <w:rPr>
                <w:rFonts w:hint="eastAsia" w:ascii="宋体" w:hAnsi="宋体" w:eastAsia="宋体" w:cs="宋体"/>
                <w:kern w:val="0"/>
                <w:sz w:val="24"/>
                <w:szCs w:val="22"/>
                <w:lang w:val="en-US" w:eastAsia="zh-CN" w:bidi="ar"/>
              </w:rPr>
              <w:t>干预为辅。医疗</w:t>
            </w:r>
            <w:r>
              <w:rPr>
                <w:rFonts w:ascii="宋体" w:hAnsi="宋体" w:eastAsia="宋体" w:cs="宋体"/>
                <w:kern w:val="0"/>
                <w:sz w:val="24"/>
                <w:szCs w:val="22"/>
                <w:lang w:val="en-US" w:eastAsia="zh-CN" w:bidi="ar"/>
              </w:rPr>
              <w:t>机构应当在医院药事管理与药物治疗学委员会（组）和医疗</w:t>
            </w:r>
            <w:r>
              <w:rPr>
                <w:rFonts w:hint="eastAsia" w:ascii="宋体" w:hAnsi="宋体" w:eastAsia="宋体" w:cs="宋体"/>
                <w:kern w:val="0"/>
                <w:sz w:val="24"/>
                <w:szCs w:val="22"/>
                <w:lang w:val="en-US" w:eastAsia="zh-CN" w:bidi="ar"/>
              </w:rPr>
              <w:t>质量管理委员会领导下</w:t>
            </w:r>
            <w:r>
              <w:rPr>
                <w:rFonts w:ascii="宋体" w:hAnsi="宋体" w:eastAsia="宋体" w:cs="宋体"/>
                <w:kern w:val="0"/>
                <w:sz w:val="24"/>
                <w:szCs w:val="22"/>
                <w:lang w:val="en-US" w:eastAsia="zh-CN" w:bidi="ar"/>
              </w:rPr>
              <w:t>设立处方审核质量管理小组或指定专（兼）职人员，定期对</w:t>
            </w:r>
            <w:r>
              <w:rPr>
                <w:rFonts w:hint="eastAsia" w:ascii="宋体" w:hAnsi="宋体" w:eastAsia="宋体" w:cs="宋体"/>
                <w:kern w:val="0"/>
                <w:sz w:val="24"/>
                <w:szCs w:val="22"/>
                <w:lang w:val="en-US" w:eastAsia="zh-CN" w:bidi="ar"/>
              </w:rPr>
              <w:t>机构内处方审核质量开展</w:t>
            </w:r>
            <w:r>
              <w:rPr>
                <w:rFonts w:ascii="宋体" w:hAnsi="宋体" w:eastAsia="宋体" w:cs="宋体"/>
                <w:kern w:val="0"/>
                <w:sz w:val="24"/>
                <w:szCs w:val="22"/>
                <w:lang w:val="en-US" w:eastAsia="zh-CN" w:bidi="ar"/>
              </w:rPr>
              <w:t>监测与评价，包括对信息系统审核的处方进行抽查，建立处方审核质量监测指标体系，对处方审核的数量、质量、效率和效果等进行评价，是完善审方标准的重要环节。</w:t>
            </w:r>
          </w:p>
          <w:p>
            <w:pPr>
              <w:numPr>
                <w:ilvl w:val="0"/>
                <w:numId w:val="19"/>
              </w:numPr>
              <w:bidi w:val="0"/>
              <w:spacing w:line="360" w:lineRule="auto"/>
              <w:ind w:left="425" w:leftChars="0" w:hanging="425" w:firstLineChars="0"/>
              <w:rPr>
                <w:rFonts w:ascii="宋体" w:hAnsi="宋体" w:eastAsia="宋体" w:cs="宋体"/>
                <w:kern w:val="0"/>
                <w:sz w:val="24"/>
                <w:szCs w:val="22"/>
                <w:lang w:val="en-US" w:eastAsia="zh-CN" w:bidi="ar"/>
              </w:rPr>
            </w:pPr>
            <w:bookmarkStart w:id="16" w:name="bookmark37"/>
            <w:bookmarkEnd w:id="16"/>
            <w:r>
              <w:rPr>
                <w:rFonts w:ascii="宋体" w:hAnsi="宋体" w:eastAsia="宋体" w:cs="宋体"/>
                <w:kern w:val="0"/>
                <w:sz w:val="24"/>
                <w:szCs w:val="22"/>
                <w:lang w:val="en-US" w:eastAsia="zh-CN" w:bidi="ar"/>
              </w:rPr>
              <w:t>建立并实施处方审核全过程质量管理机制，是审方可持续发展的基石。</w:t>
            </w:r>
          </w:p>
          <w:p>
            <w:pPr>
              <w:bidi w:val="0"/>
              <w:spacing w:line="360" w:lineRule="auto"/>
              <w:ind w:firstLine="480" w:firstLineChars="200"/>
              <w:rPr>
                <w:rFonts w:ascii="宋体" w:hAnsi="宋体" w:eastAsia="宋体" w:cs="宋体"/>
                <w:kern w:val="0"/>
                <w:sz w:val="24"/>
                <w:szCs w:val="22"/>
                <w:lang w:val="en-US" w:eastAsia="zh-CN" w:bidi="ar"/>
              </w:rPr>
            </w:pPr>
            <w:r>
              <w:rPr>
                <w:rFonts w:ascii="宋体" w:hAnsi="宋体" w:eastAsia="宋体" w:cs="宋体"/>
                <w:kern w:val="0"/>
                <w:sz w:val="24"/>
                <w:szCs w:val="22"/>
                <w:lang w:val="en-US" w:eastAsia="zh-CN" w:bidi="ar"/>
              </w:rPr>
              <w:t>处方审核全过程质量管理机制应包括审核过程追溯机制、审核反馈机制、及审核质量改进机制。医疗机构应通过信息化系统，支持对处方审核全过程进行追溯</w:t>
            </w:r>
            <w:r>
              <w:rPr>
                <w:rFonts w:hint="eastAsia" w:ascii="宋体" w:hAnsi="宋体" w:eastAsia="宋体" w:cs="宋体"/>
                <w:kern w:val="0"/>
                <w:sz w:val="24"/>
                <w:szCs w:val="22"/>
                <w:lang w:val="en-US" w:eastAsia="zh-CN" w:bidi="ar"/>
              </w:rPr>
              <w:t>，</w:t>
            </w:r>
            <w:r>
              <w:rPr>
                <w:rFonts w:ascii="宋体" w:hAnsi="宋体" w:eastAsia="宋体" w:cs="宋体"/>
                <w:kern w:val="0"/>
                <w:sz w:val="24"/>
                <w:szCs w:val="22"/>
                <w:lang w:val="en-US" w:eastAsia="zh-CN" w:bidi="ar"/>
              </w:rPr>
              <w:t>涵盖审方各阶段处理结果记录，药师与医师的交互内容记录、和审方质量点评结果记录。建立并实施处方审核全过程质量管理机制，是审方可持续发展的基石。</w:t>
            </w:r>
          </w:p>
          <w:p>
            <w:pPr>
              <w:bidi w:val="0"/>
              <w:spacing w:line="360" w:lineRule="auto"/>
              <w:rPr>
                <w:rFonts w:ascii="宋体" w:hAnsi="宋体" w:eastAsia="宋体" w:cs="宋体"/>
                <w:kern w:val="0"/>
                <w:sz w:val="24"/>
                <w:szCs w:val="22"/>
                <w:lang w:val="en-US" w:eastAsia="zh-CN" w:bidi="ar"/>
              </w:rPr>
            </w:pPr>
            <w:r>
              <w:rPr>
                <w:rFonts w:hint="eastAsia" w:cs="宋体"/>
                <w:kern w:val="0"/>
                <w:sz w:val="24"/>
                <w:szCs w:val="22"/>
                <w:lang w:val="en-US" w:eastAsia="zh-CN" w:bidi="ar"/>
              </w:rPr>
              <w:t>3、</w:t>
            </w:r>
            <w:r>
              <w:rPr>
                <w:rFonts w:ascii="宋体" w:hAnsi="宋体" w:eastAsia="宋体" w:cs="宋体"/>
                <w:kern w:val="0"/>
                <w:sz w:val="24"/>
                <w:szCs w:val="22"/>
                <w:lang w:val="en-US" w:eastAsia="zh-CN" w:bidi="ar"/>
              </w:rPr>
              <w:t>医院管理效益：</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330" w:leftChars="150" w:right="110" w:rightChars="50" w:firstLine="480" w:firstLineChars="200"/>
              <w:jc w:val="left"/>
              <w:textAlignment w:val="auto"/>
            </w:pPr>
            <w:r>
              <w:rPr>
                <w:rFonts w:ascii="宋体" w:hAnsi="宋体" w:eastAsia="宋体" w:cs="宋体"/>
                <w:kern w:val="0"/>
                <w:sz w:val="24"/>
                <w:szCs w:val="22"/>
                <w:lang w:val="en-US" w:eastAsia="zh-CN" w:bidi="ar"/>
              </w:rPr>
              <w:t>医院投入具有权威性、科学性合理用药知识库基础的合理用药管理与处方审核管理等信息系统，运用基于患者、疾病、状态的精准用药知识生态体系</w:t>
            </w:r>
            <w:r>
              <w:rPr>
                <w:rFonts w:hint="eastAsia" w:ascii="宋体" w:hAnsi="宋体" w:eastAsia="宋体" w:cs="宋体"/>
                <w:kern w:val="0"/>
                <w:sz w:val="24"/>
                <w:szCs w:val="22"/>
                <w:lang w:val="en-US" w:eastAsia="zh-CN" w:bidi="ar"/>
              </w:rPr>
              <w:t>，</w:t>
            </w:r>
            <w:r>
              <w:rPr>
                <w:rFonts w:ascii="宋体" w:hAnsi="宋体" w:eastAsia="宋体" w:cs="宋体"/>
                <w:kern w:val="0"/>
                <w:sz w:val="24"/>
                <w:szCs w:val="22"/>
                <w:lang w:val="en-US" w:eastAsia="zh-CN" w:bidi="ar"/>
              </w:rPr>
              <w:t>使其能应用于医院内医药信息的有效掌握和利用，围绕患者用药为</w:t>
            </w:r>
            <w:r>
              <w:rPr>
                <w:rFonts w:hint="eastAsia" w:ascii="宋体" w:hAnsi="宋体" w:eastAsia="宋体" w:cs="宋体"/>
                <w:kern w:val="0"/>
                <w:sz w:val="24"/>
                <w:szCs w:val="22"/>
                <w:lang w:val="en-US" w:eastAsia="zh-CN" w:bidi="ar"/>
              </w:rPr>
              <w:t>医疗用药知识、用药风险、用药分析、用药决策等</w:t>
            </w:r>
            <w:r>
              <w:rPr>
                <w:rFonts w:ascii="宋体" w:hAnsi="宋体" w:eastAsia="宋体" w:cs="宋体"/>
                <w:kern w:val="0"/>
                <w:sz w:val="24"/>
                <w:szCs w:val="22"/>
                <w:lang w:val="en-US" w:eastAsia="zh-CN" w:bidi="ar"/>
              </w:rPr>
              <w:t>提供合理用药管理支持，为患者获得安全、有效、经济的用药提供切实有效的支撑</w:t>
            </w:r>
            <w:r>
              <w:rPr>
                <w:rFonts w:hint="eastAsia" w:ascii="宋体" w:hAnsi="宋体" w:eastAsia="宋体" w:cs="宋体"/>
                <w:kern w:val="0"/>
                <w:sz w:val="24"/>
                <w:szCs w:val="22"/>
                <w:lang w:val="en-US" w:eastAsia="zh-CN" w:bidi="ar"/>
              </w:rPr>
              <w:t>。</w:t>
            </w:r>
          </w:p>
        </w:tc>
      </w:tr>
    </w:tbl>
    <w:p>
      <w:pPr>
        <w:pStyle w:val="28"/>
        <w:keepNext w:val="0"/>
        <w:keepLines w:val="0"/>
        <w:pageBreakBefore w:val="0"/>
        <w:widowControl w:val="0"/>
        <w:kinsoku/>
        <w:wordWrap/>
        <w:overflowPunct/>
        <w:topLinePunct w:val="0"/>
        <w:autoSpaceDE w:val="0"/>
        <w:autoSpaceDN w:val="0"/>
        <w:bidi w:val="0"/>
        <w:adjustRightInd/>
        <w:snapToGrid/>
        <w:spacing w:before="1" w:line="360" w:lineRule="auto"/>
        <w:ind w:leftChars="50" w:right="0" w:rightChars="0"/>
        <w:textAlignment w:val="auto"/>
        <w:rPr>
          <w:rFonts w:hint="eastAsia" w:ascii="宋体" w:hAnsi="宋体" w:eastAsia="宋体" w:cs="宋体"/>
          <w:b/>
          <w:spacing w:val="0"/>
          <w:sz w:val="32"/>
          <w:szCs w:val="32"/>
          <w:lang w:val="en-US" w:eastAsia="zh-CN"/>
        </w:rPr>
      </w:pPr>
      <w:r>
        <w:rPr>
          <w:rFonts w:hint="eastAsia" w:ascii="宋体" w:hAnsi="宋体" w:eastAsia="宋体" w:cs="宋体"/>
          <w:b/>
          <w:spacing w:val="0"/>
          <w:sz w:val="32"/>
          <w:szCs w:val="32"/>
          <w:lang w:val="en-US" w:eastAsia="zh-CN"/>
        </w:rPr>
        <w:br w:type="page"/>
      </w:r>
    </w:p>
    <w:tbl>
      <w:tblPr>
        <w:tblStyle w:val="22"/>
        <w:tblW w:w="50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tcPr>
          <w:p>
            <w:pPr>
              <w:pStyle w:val="28"/>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textAlignment w:val="auto"/>
              <w:rPr>
                <w:rFonts w:hint="eastAsia" w:asciiTheme="minorEastAsia" w:hAnsiTheme="minorEastAsia" w:eastAsiaTheme="minorEastAsia" w:cstheme="minorEastAsia"/>
                <w:spacing w:val="0"/>
                <w:sz w:val="21"/>
                <w:szCs w:val="22"/>
                <w:lang w:val="zh-CN" w:eastAsia="zh-CN" w:bidi="zh-CN"/>
              </w:rPr>
            </w:pPr>
            <w:r>
              <w:rPr>
                <w:rFonts w:hint="eastAsia" w:ascii="宋体" w:hAnsi="宋体" w:eastAsia="宋体" w:cs="宋体"/>
                <w:b/>
                <w:spacing w:val="0"/>
                <w:sz w:val="32"/>
                <w:szCs w:val="32"/>
                <w:lang w:val="en-US" w:eastAsia="zh-CN"/>
              </w:rPr>
              <w:t>三、技术标准与要求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vAlign w:val="top"/>
          </w:tcPr>
          <w:p>
            <w:pPr>
              <w:pStyle w:val="28"/>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right="0" w:rightChars="0"/>
              <w:jc w:val="both"/>
              <w:textAlignment w:val="auto"/>
              <w:rPr>
                <w:rFonts w:hint="default" w:asciiTheme="minorEastAsia" w:hAnsiTheme="minorEastAsia" w:eastAsiaTheme="minorEastAsia" w:cstheme="minorEastAsia"/>
                <w:spacing w:val="0"/>
                <w:sz w:val="21"/>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0" w:hRule="atLeast"/>
          <w:jc w:val="center"/>
        </w:trPr>
        <w:tc>
          <w:tcPr>
            <w:tcW w:w="5000" w:type="pct"/>
            <w:vAlign w:val="top"/>
          </w:tcPr>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560"/>
              <w:gridCol w:w="552"/>
              <w:gridCol w:w="1781"/>
              <w:gridCol w:w="613"/>
              <w:gridCol w:w="322"/>
              <w:gridCol w:w="296"/>
              <w:gridCol w:w="613"/>
              <w:gridCol w:w="1600"/>
              <w:gridCol w:w="817"/>
              <w:gridCol w:w="78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Fonts w:hint="default" w:ascii="宋体" w:hAnsi="宋体" w:eastAsia="宋体" w:cs="宋体"/>
                      <w:b/>
                      <w:bCs/>
                      <w:spacing w:val="0"/>
                      <w:kern w:val="0"/>
                      <w:sz w:val="24"/>
                      <w:szCs w:val="24"/>
                      <w:vertAlign w:val="baseline"/>
                      <w:lang w:val="en-US" w:eastAsia="zh-CN" w:bidi="zh-CN"/>
                    </w:rPr>
                    <w:t>序号</w:t>
                  </w:r>
                </w:p>
              </w:tc>
              <w:tc>
                <w:tcPr>
                  <w:tcW w:w="564" w:type="pct"/>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Fonts w:hint="default" w:ascii="宋体" w:hAnsi="宋体" w:eastAsia="宋体" w:cs="宋体"/>
                      <w:b/>
                      <w:bCs/>
                      <w:spacing w:val="0"/>
                      <w:kern w:val="0"/>
                      <w:sz w:val="24"/>
                      <w:szCs w:val="24"/>
                      <w:vertAlign w:val="baseline"/>
                      <w:lang w:val="en-US" w:eastAsia="zh-CN" w:bidi="zh-CN"/>
                    </w:rPr>
                    <w:t>品目名称</w:t>
                  </w:r>
                </w:p>
              </w:tc>
              <w:tc>
                <w:tcPr>
                  <w:tcW w:w="903"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kern w:val="0"/>
                      <w:sz w:val="24"/>
                      <w:szCs w:val="24"/>
                      <w:vertAlign w:val="baseline"/>
                      <w:lang w:val="en-US" w:eastAsia="zh-CN" w:bidi="zh-CN"/>
                    </w:rPr>
                  </w:pPr>
                  <w:r>
                    <w:rPr>
                      <w:rFonts w:hint="default" w:ascii="宋体" w:hAnsi="宋体" w:eastAsia="宋体" w:cs="宋体"/>
                      <w:b/>
                      <w:bCs/>
                      <w:spacing w:val="0"/>
                      <w:sz w:val="24"/>
                      <w:szCs w:val="24"/>
                      <w:lang w:val="en-US" w:eastAsia="zh-CN" w:bidi="zh-CN"/>
                    </w:rPr>
                    <w:t>标的名称</w:t>
                  </w:r>
                </w:p>
              </w:tc>
              <w:tc>
                <w:tcPr>
                  <w:tcW w:w="311"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国别</w:t>
                  </w:r>
                </w:p>
              </w:tc>
              <w:tc>
                <w:tcPr>
                  <w:tcW w:w="313" w:type="pct"/>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default" w:ascii="宋体" w:hAnsi="宋体" w:eastAsia="宋体" w:cs="宋体"/>
                      <w:b/>
                      <w:bCs/>
                      <w:spacing w:val="0"/>
                      <w:sz w:val="24"/>
                      <w:szCs w:val="24"/>
                      <w:lang w:val="en-US" w:eastAsia="zh-CN" w:bidi="zh-CN"/>
                    </w:rPr>
                    <w:t>单位</w:t>
                  </w:r>
                </w:p>
              </w:tc>
              <w:tc>
                <w:tcPr>
                  <w:tcW w:w="311"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数量</w:t>
                  </w:r>
                </w:p>
              </w:tc>
              <w:tc>
                <w:tcPr>
                  <w:tcW w:w="811"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分项预算单价（元）</w:t>
                  </w:r>
                </w:p>
              </w:tc>
              <w:tc>
                <w:tcPr>
                  <w:tcW w:w="811" w:type="pct"/>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rFonts w:hint="default" w:ascii="宋体" w:hAnsi="宋体" w:eastAsia="宋体" w:cs="宋体"/>
                      <w:b/>
                      <w:bCs/>
                      <w:spacing w:val="0"/>
                      <w:sz w:val="24"/>
                      <w:szCs w:val="24"/>
                      <w:lang w:val="en-US" w:eastAsia="zh-CN" w:bidi="zh-CN"/>
                    </w:rPr>
                    <w:t>分项预算总价（元）</w:t>
                  </w:r>
                </w:p>
              </w:tc>
              <w:tc>
                <w:tcPr>
                  <w:tcW w:w="66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bCs/>
                      <w:spacing w:val="0"/>
                      <w:sz w:val="24"/>
                      <w:szCs w:val="24"/>
                      <w:lang w:val="en-US" w:eastAsia="zh-CN" w:bidi="zh-CN"/>
                    </w:rPr>
                  </w:pPr>
                  <w:r>
                    <w:rPr>
                      <w:b/>
                      <w:bCs/>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11"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1</w:t>
                  </w:r>
                </w:p>
              </w:tc>
              <w:tc>
                <w:tcPr>
                  <w:tcW w:w="564" w:type="pct"/>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ascii="宋体" w:hAnsi="宋体" w:eastAsia="宋体" w:cs="宋体"/>
                      <w:b w:val="0"/>
                      <w:bCs w:val="0"/>
                      <w:spacing w:val="0"/>
                      <w:sz w:val="24"/>
                      <w:szCs w:val="24"/>
                      <w:lang w:val="en-US" w:eastAsia="zh-CN" w:bidi="zh-CN"/>
                    </w:rPr>
                    <w:t>医院药事管理系统</w:t>
                  </w:r>
                </w:p>
              </w:tc>
              <w:tc>
                <w:tcPr>
                  <w:tcW w:w="903"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default" w:ascii="宋体" w:hAnsi="宋体" w:eastAsia="宋体" w:cs="宋体"/>
                      <w:b w:val="0"/>
                      <w:bCs w:val="0"/>
                      <w:spacing w:val="0"/>
                      <w:sz w:val="24"/>
                      <w:szCs w:val="24"/>
                      <w:lang w:val="en-US" w:eastAsia="zh-CN" w:bidi="zh-CN"/>
                    </w:rPr>
                    <w:t>新兴县中医院</w:t>
                  </w:r>
                  <w:r>
                    <w:rPr>
                      <w:rFonts w:hint="eastAsia" w:ascii="宋体" w:hAnsi="宋体" w:eastAsia="宋体" w:cs="宋体"/>
                      <w:b w:val="0"/>
                      <w:bCs w:val="0"/>
                      <w:spacing w:val="0"/>
                      <w:sz w:val="24"/>
                      <w:szCs w:val="24"/>
                      <w:lang w:val="en-US" w:eastAsia="zh-CN" w:bidi="zh-CN"/>
                    </w:rPr>
                    <w:t>药事管理系统</w:t>
                  </w:r>
                  <w:r>
                    <w:rPr>
                      <w:rFonts w:hint="default" w:ascii="宋体" w:hAnsi="宋体" w:eastAsia="宋体" w:cs="宋体"/>
                      <w:b w:val="0"/>
                      <w:bCs w:val="0"/>
                      <w:spacing w:val="0"/>
                      <w:sz w:val="24"/>
                      <w:szCs w:val="24"/>
                      <w:lang w:val="en-US" w:eastAsia="zh-CN" w:bidi="zh-CN"/>
                    </w:rPr>
                    <w:t>采购</w:t>
                  </w:r>
                  <w:r>
                    <w:rPr>
                      <w:rFonts w:hint="eastAsia" w:ascii="宋体" w:hAnsi="宋体" w:eastAsia="宋体" w:cs="宋体"/>
                      <w:b w:val="0"/>
                      <w:bCs w:val="0"/>
                      <w:spacing w:val="0"/>
                      <w:sz w:val="24"/>
                      <w:szCs w:val="24"/>
                      <w:lang w:val="en-US" w:eastAsia="zh-CN" w:bidi="zh-CN"/>
                    </w:rPr>
                    <w:t>项目</w:t>
                  </w:r>
                </w:p>
              </w:tc>
              <w:tc>
                <w:tcPr>
                  <w:tcW w:w="311"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黑体" w:eastAsia="黑体"/>
                      <w:sz w:val="24"/>
                      <w:lang w:val="en-US" w:eastAsia="zh-CN"/>
                    </w:rPr>
                  </w:pPr>
                  <w:r>
                    <w:rPr>
                      <w:rFonts w:hint="eastAsia" w:ascii="黑体" w:eastAsia="黑体"/>
                      <w:sz w:val="24"/>
                      <w:lang w:val="en-US" w:eastAsia="zh-CN"/>
                    </w:rPr>
                    <w:t>国产</w:t>
                  </w:r>
                </w:p>
              </w:tc>
              <w:tc>
                <w:tcPr>
                  <w:tcW w:w="313" w:type="pct"/>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ascii="黑体" w:eastAsia="黑体"/>
                      <w:sz w:val="24"/>
                    </w:rPr>
                    <w:t>套</w:t>
                  </w:r>
                </w:p>
              </w:tc>
              <w:tc>
                <w:tcPr>
                  <w:tcW w:w="311"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1</w:t>
                  </w:r>
                </w:p>
              </w:tc>
              <w:tc>
                <w:tcPr>
                  <w:tcW w:w="811"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650，000.00</w:t>
                  </w:r>
                </w:p>
              </w:tc>
              <w:tc>
                <w:tcPr>
                  <w:tcW w:w="811" w:type="pct"/>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650，000.00</w:t>
                  </w:r>
                </w:p>
              </w:tc>
              <w:tc>
                <w:tcPr>
                  <w:tcW w:w="660" w:type="pct"/>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val="0"/>
                      <w:bCs w:val="0"/>
                      <w:spacing w:val="0"/>
                      <w:kern w:val="0"/>
                      <w:sz w:val="24"/>
                      <w:szCs w:val="24"/>
                      <w:vertAlign w:val="baseline"/>
                      <w:lang w:val="en-US" w:eastAsia="zh-CN" w:bidi="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2"/>
                  <w:vAlign w:val="center"/>
                </w:tcPr>
                <w:p>
                  <w:pPr>
                    <w:pStyle w:val="21"/>
                    <w:ind w:left="0" w:leftChars="0" w:right="0" w:rightChars="0" w:firstLine="0" w:firstLineChars="0"/>
                    <w:jc w:val="center"/>
                    <w:rPr>
                      <w:rFonts w:hint="eastAsia" w:ascii="宋体" w:hAnsi="宋体" w:eastAsia="宋体" w:cs="宋体"/>
                      <w:b/>
                      <w:spacing w:val="0"/>
                      <w:sz w:val="32"/>
                      <w:szCs w:val="32"/>
                      <w:lang w:val="en-US" w:eastAsia="zh-CN" w:bidi="zh-CN"/>
                    </w:rPr>
                  </w:pPr>
                  <w:r>
                    <w:rPr>
                      <w:rFonts w:hint="eastAsia" w:ascii="宋体" w:hAnsi="宋体" w:eastAsia="宋体" w:cs="宋体"/>
                      <w:b/>
                      <w:spacing w:val="0"/>
                      <w:sz w:val="32"/>
                      <w:szCs w:val="32"/>
                      <w:lang w:val="en-US" w:eastAsia="zh-CN" w:bidi="zh-CN"/>
                    </w:rPr>
                    <w:t>新兴县中医院药事管理系统项目清单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95"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b/>
                      <w:bCs/>
                    </w:rPr>
                    <w:t>序号</w:t>
                  </w:r>
                </w:p>
              </w:tc>
              <w:tc>
                <w:tcPr>
                  <w:tcW w:w="1657"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b/>
                      <w:bCs/>
                    </w:rPr>
                    <w:t>模块名称</w:t>
                  </w:r>
                </w:p>
              </w:tc>
              <w:tc>
                <w:tcPr>
                  <w:tcW w:w="1686"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b/>
                      <w:bCs/>
                    </w:rPr>
                    <w:t>数量</w:t>
                  </w:r>
                </w:p>
              </w:tc>
              <w:tc>
                <w:tcPr>
                  <w:tcW w:w="1060"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95"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1</w:t>
                  </w:r>
                </w:p>
              </w:tc>
              <w:tc>
                <w:tcPr>
                  <w:tcW w:w="1657"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药事管理平台</w:t>
                  </w:r>
                </w:p>
              </w:tc>
              <w:tc>
                <w:tcPr>
                  <w:tcW w:w="1686"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1</w:t>
                  </w:r>
                </w:p>
              </w:tc>
              <w:tc>
                <w:tcPr>
                  <w:tcW w:w="1060"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595"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2</w:t>
                  </w:r>
                </w:p>
              </w:tc>
              <w:tc>
                <w:tcPr>
                  <w:tcW w:w="1657"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合理用药监测</w:t>
                  </w:r>
                </w:p>
              </w:tc>
              <w:tc>
                <w:tcPr>
                  <w:tcW w:w="1686"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1</w:t>
                  </w:r>
                </w:p>
              </w:tc>
              <w:tc>
                <w:tcPr>
                  <w:tcW w:w="1060"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95"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3</w:t>
                  </w:r>
                </w:p>
              </w:tc>
              <w:tc>
                <w:tcPr>
                  <w:tcW w:w="1657"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前置审方中心</w:t>
                  </w:r>
                </w:p>
              </w:tc>
              <w:tc>
                <w:tcPr>
                  <w:tcW w:w="1686"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1</w:t>
                  </w:r>
                </w:p>
              </w:tc>
              <w:tc>
                <w:tcPr>
                  <w:tcW w:w="1060"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5"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4</w:t>
                  </w:r>
                </w:p>
              </w:tc>
              <w:tc>
                <w:tcPr>
                  <w:tcW w:w="1657"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处方智能点评</w:t>
                  </w:r>
                </w:p>
              </w:tc>
              <w:tc>
                <w:tcPr>
                  <w:tcW w:w="1686"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1</w:t>
                  </w:r>
                </w:p>
              </w:tc>
              <w:tc>
                <w:tcPr>
                  <w:tcW w:w="1060"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5"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5</w:t>
                  </w:r>
                </w:p>
              </w:tc>
              <w:tc>
                <w:tcPr>
                  <w:tcW w:w="1657"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抗菌药物专项</w:t>
                  </w:r>
                </w:p>
              </w:tc>
              <w:tc>
                <w:tcPr>
                  <w:tcW w:w="1686"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1</w:t>
                  </w:r>
                </w:p>
              </w:tc>
              <w:tc>
                <w:tcPr>
                  <w:tcW w:w="1060"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5"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6</w:t>
                  </w:r>
                </w:p>
              </w:tc>
              <w:tc>
                <w:tcPr>
                  <w:tcW w:w="1657"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医药知识库</w:t>
                  </w:r>
                </w:p>
              </w:tc>
              <w:tc>
                <w:tcPr>
                  <w:tcW w:w="1686"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1</w:t>
                  </w:r>
                </w:p>
              </w:tc>
              <w:tc>
                <w:tcPr>
                  <w:tcW w:w="1060"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95"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7</w:t>
                  </w:r>
                </w:p>
              </w:tc>
              <w:tc>
                <w:tcPr>
                  <w:tcW w:w="1657"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药事质控中心</w:t>
                  </w:r>
                </w:p>
              </w:tc>
              <w:tc>
                <w:tcPr>
                  <w:tcW w:w="1686" w:type="pct"/>
                  <w:gridSpan w:val="4"/>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1</w:t>
                  </w:r>
                </w:p>
              </w:tc>
              <w:tc>
                <w:tcPr>
                  <w:tcW w:w="1060" w:type="pct"/>
                  <w:gridSpan w:val="2"/>
                  <w:vAlign w:val="center"/>
                </w:tcPr>
                <w:p>
                  <w:pPr>
                    <w:spacing w:line="360" w:lineRule="auto"/>
                    <w:ind w:left="0" w:leftChars="0" w:right="0" w:rightChars="0"/>
                    <w:jc w:val="center"/>
                    <w:rPr>
                      <w:rFonts w:hint="eastAsia" w:ascii="宋体" w:hAnsi="宋体" w:eastAsia="宋体" w:cs="宋体"/>
                      <w:b/>
                      <w:spacing w:val="0"/>
                      <w:sz w:val="32"/>
                      <w:szCs w:val="32"/>
                      <w:lang w:val="en-US" w:eastAsia="zh-CN" w:bidi="zh-CN"/>
                    </w:rP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595" w:type="pct"/>
                  <w:gridSpan w:val="2"/>
                  <w:vAlign w:val="center"/>
                </w:tcPr>
                <w:p>
                  <w:pPr>
                    <w:ind w:left="0" w:leftChars="0" w:right="0" w:rightChars="0"/>
                    <w:jc w:val="center"/>
                    <w:rPr>
                      <w:rFonts w:hint="eastAsia" w:ascii="宋体" w:hAnsi="宋体" w:eastAsia="宋体" w:cs="宋体"/>
                      <w:b/>
                      <w:bCs/>
                      <w:sz w:val="22"/>
                      <w:szCs w:val="22"/>
                      <w:lang w:val="zh-CN" w:eastAsia="zh-CN" w:bidi="zh-CN"/>
                    </w:rPr>
                  </w:pPr>
                  <w:r>
                    <w:rPr>
                      <w:rFonts w:hint="eastAsia"/>
                    </w:rPr>
                    <w:t>8</w:t>
                  </w:r>
                </w:p>
              </w:tc>
              <w:tc>
                <w:tcPr>
                  <w:tcW w:w="1657" w:type="pct"/>
                  <w:gridSpan w:val="4"/>
                  <w:vAlign w:val="center"/>
                </w:tcPr>
                <w:p>
                  <w:pPr>
                    <w:spacing w:line="360" w:lineRule="auto"/>
                    <w:ind w:left="0" w:leftChars="0" w:right="0" w:rightChars="0"/>
                    <w:jc w:val="center"/>
                    <w:rPr>
                      <w:rFonts w:hint="eastAsia" w:ascii="宋体" w:hAnsi="宋体" w:eastAsia="宋体" w:cs="宋体"/>
                      <w:b/>
                      <w:bCs/>
                      <w:sz w:val="22"/>
                      <w:szCs w:val="22"/>
                      <w:lang w:val="zh-CN" w:eastAsia="zh-CN" w:bidi="zh-CN"/>
                    </w:rPr>
                  </w:pPr>
                  <w:r>
                    <w:rPr>
                      <w:rFonts w:hint="eastAsia"/>
                    </w:rPr>
                    <w:t>技术服务</w:t>
                  </w:r>
                </w:p>
              </w:tc>
              <w:tc>
                <w:tcPr>
                  <w:tcW w:w="1686" w:type="pct"/>
                  <w:gridSpan w:val="4"/>
                  <w:vAlign w:val="center"/>
                </w:tcPr>
                <w:p>
                  <w:pPr>
                    <w:ind w:left="0" w:leftChars="0" w:right="0" w:rightChars="0"/>
                    <w:jc w:val="center"/>
                    <w:rPr>
                      <w:rFonts w:hint="eastAsia" w:ascii="宋体" w:hAnsi="宋体" w:eastAsia="宋体" w:cs="宋体"/>
                      <w:b/>
                      <w:bCs/>
                      <w:sz w:val="22"/>
                      <w:szCs w:val="22"/>
                      <w:lang w:val="zh-CN" w:eastAsia="zh-CN" w:bidi="zh-CN"/>
                    </w:rPr>
                  </w:pPr>
                  <w:r>
                    <w:rPr>
                      <w:rFonts w:hint="eastAsia"/>
                    </w:rPr>
                    <w:t>1</w:t>
                  </w:r>
                </w:p>
              </w:tc>
              <w:tc>
                <w:tcPr>
                  <w:tcW w:w="1060" w:type="pct"/>
                  <w:gridSpan w:val="2"/>
                  <w:vAlign w:val="center"/>
                </w:tcPr>
                <w:p>
                  <w:pPr>
                    <w:ind w:left="0" w:leftChars="0" w:right="0" w:rightChars="0"/>
                    <w:jc w:val="center"/>
                    <w:rPr>
                      <w:rFonts w:hint="eastAsia" w:ascii="宋体" w:hAnsi="宋体" w:eastAsia="宋体" w:cs="宋体"/>
                      <w:b/>
                      <w:bCs/>
                      <w:sz w:val="22"/>
                      <w:szCs w:val="22"/>
                      <w:lang w:val="zh-CN" w:eastAsia="zh-CN" w:bidi="zh-CN"/>
                    </w:rPr>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00" w:type="pct"/>
                  <w:gridSpan w:val="1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cs="宋体"/>
                      <w:b w:val="0"/>
                      <w:bCs w:val="0"/>
                      <w:spacing w:val="0"/>
                      <w:kern w:val="0"/>
                      <w:sz w:val="24"/>
                      <w:szCs w:val="24"/>
                      <w:vertAlign w:val="baseline"/>
                      <w:lang w:val="en-US" w:eastAsia="zh-CN" w:bidi="zh-CN"/>
                    </w:rPr>
                  </w:pPr>
                  <w:r>
                    <w:rPr>
                      <w:rFonts w:hint="eastAsia" w:cs="宋体"/>
                      <w:b/>
                      <w:bCs/>
                      <w:spacing w:val="0"/>
                      <w:kern w:val="0"/>
                      <w:sz w:val="24"/>
                      <w:szCs w:val="24"/>
                      <w:lang w:val="en-US" w:eastAsia="zh-CN" w:bidi="zh-CN"/>
                    </w:rPr>
                    <w:t>（一）</w:t>
                  </w:r>
                  <w:r>
                    <w:rPr>
                      <w:rFonts w:hint="eastAsia" w:ascii="宋体" w:hAnsi="宋体" w:eastAsia="宋体" w:cs="宋体"/>
                      <w:b/>
                      <w:bCs/>
                      <w:spacing w:val="0"/>
                      <w:kern w:val="0"/>
                      <w:sz w:val="24"/>
                      <w:szCs w:val="24"/>
                      <w:lang w:val="en-US" w:eastAsia="zh-CN" w:bidi="zh-CN"/>
                    </w:rPr>
                    <w:t>设备主要功能参数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000" w:type="pct"/>
                  <w:gridSpan w:val="12"/>
                  <w:vAlign w:val="center"/>
                </w:tcPr>
                <w:p>
                  <w:pPr>
                    <w:snapToGrid w:val="0"/>
                    <w:spacing w:line="360" w:lineRule="auto"/>
                    <w:ind w:firstLine="241" w:firstLineChars="100"/>
                    <w:rPr>
                      <w:rFonts w:hint="eastAsia" w:ascii="宋体" w:hAnsi="宋体" w:eastAsia="宋体" w:cs="宋体"/>
                      <w:b/>
                      <w:bCs/>
                      <w:kern w:val="0"/>
                      <w:sz w:val="24"/>
                      <w:szCs w:val="22"/>
                      <w:lang w:val="en-US" w:eastAsia="zh-CN" w:bidi="ar"/>
                    </w:rPr>
                  </w:pPr>
                  <w:r>
                    <w:rPr>
                      <w:rFonts w:hint="eastAsia" w:ascii="宋体" w:hAnsi="宋体" w:eastAsia="宋体" w:cs="宋体"/>
                      <w:b/>
                      <w:bCs/>
                      <w:kern w:val="0"/>
                      <w:sz w:val="24"/>
                      <w:szCs w:val="22"/>
                      <w:lang w:val="en-US" w:eastAsia="zh-CN" w:bidi="ar"/>
                    </w:rPr>
                    <w:t>1、合理用药管理</w:t>
                  </w:r>
                </w:p>
                <w:p>
                  <w:pPr>
                    <w:snapToGrid w:val="0"/>
                    <w:spacing w:line="360" w:lineRule="auto"/>
                    <w:ind w:firstLine="480" w:firstLineChars="200"/>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合理用药管理软件是一种知识库应用软件系统，它根据临床合理用药专业工作的基本特点和要求，以药品说明书及临床药学实践为支撑，运用信息技术实现处方（医嘱）自动审查和医药知识库查询，及时发现潜在的不合理用药问题，促进合理用药水平。</w:t>
                  </w:r>
                </w:p>
                <w:p>
                  <w:pPr>
                    <w:snapToGrid w:val="0"/>
                    <w:spacing w:line="360" w:lineRule="auto"/>
                    <w:ind w:firstLine="241" w:firstLineChars="100"/>
                    <w:rPr>
                      <w:rFonts w:hint="eastAsia" w:ascii="宋体" w:hAnsi="宋体" w:eastAsia="宋体" w:cs="宋体"/>
                      <w:b/>
                      <w:bCs/>
                      <w:kern w:val="0"/>
                      <w:sz w:val="24"/>
                      <w:szCs w:val="22"/>
                      <w:lang w:val="en-US" w:eastAsia="zh-CN" w:bidi="ar"/>
                    </w:rPr>
                  </w:pPr>
                  <w:r>
                    <w:rPr>
                      <w:rFonts w:hint="eastAsia" w:ascii="宋体" w:hAnsi="宋体" w:eastAsia="宋体" w:cs="宋体"/>
                      <w:b/>
                      <w:bCs/>
                      <w:kern w:val="0"/>
                      <w:sz w:val="24"/>
                      <w:szCs w:val="22"/>
                      <w:lang w:val="en-US" w:eastAsia="zh-CN" w:bidi="ar"/>
                    </w:rPr>
                    <w:t>2、审方中心管理</w:t>
                  </w:r>
                </w:p>
                <w:p>
                  <w:pPr>
                    <w:snapToGrid w:val="0"/>
                    <w:spacing w:line="360" w:lineRule="auto"/>
                    <w:ind w:firstLine="480" w:firstLineChars="200"/>
                    <w:rPr>
                      <w:rFonts w:hint="eastAsia" w:ascii="宋体" w:hAnsi="宋体" w:eastAsia="宋体" w:cs="宋体"/>
                      <w:kern w:val="0"/>
                      <w:sz w:val="24"/>
                      <w:szCs w:val="22"/>
                      <w:lang w:val="en-US" w:eastAsia="zh-CN" w:bidi="ar"/>
                    </w:rPr>
                  </w:pPr>
                  <w:bookmarkStart w:id="17" w:name="_Toc37955976"/>
                  <w:r>
                    <w:rPr>
                      <w:rFonts w:hint="eastAsia" w:ascii="宋体" w:hAnsi="宋体" w:eastAsia="宋体" w:cs="宋体"/>
                      <w:kern w:val="0"/>
                      <w:sz w:val="24"/>
                      <w:szCs w:val="22"/>
                      <w:lang w:val="en-US" w:eastAsia="zh-CN" w:bidi="ar"/>
                    </w:rPr>
                    <w:t>能够实时审核处方，显著提高审方速度，有效预防用药不当及医疗事故，提升本院医疗质量，降低患者投诉率；弥补人工审核对审核药师知识及经验要求更高的缺陷，对不合理处方分析更全面、分类更科学，提高各类不合理处方的报警准确率，从而提升工作效率，进一步提高医院的社会效益。</w:t>
                  </w:r>
                </w:p>
                <w:p>
                  <w:pPr>
                    <w:snapToGrid w:val="0"/>
                    <w:spacing w:line="360" w:lineRule="auto"/>
                    <w:ind w:firstLine="241" w:firstLineChars="100"/>
                    <w:rPr>
                      <w:rFonts w:hint="eastAsia" w:ascii="宋体" w:hAnsi="宋体" w:eastAsia="宋体" w:cs="宋体"/>
                      <w:b/>
                      <w:bCs/>
                      <w:kern w:val="0"/>
                      <w:sz w:val="24"/>
                      <w:szCs w:val="22"/>
                      <w:lang w:val="en-US" w:eastAsia="zh-CN" w:bidi="ar"/>
                    </w:rPr>
                  </w:pPr>
                  <w:r>
                    <w:rPr>
                      <w:rFonts w:hint="eastAsia" w:ascii="宋体" w:hAnsi="宋体" w:eastAsia="宋体" w:cs="宋体"/>
                      <w:b/>
                      <w:bCs/>
                      <w:kern w:val="0"/>
                      <w:sz w:val="24"/>
                      <w:szCs w:val="22"/>
                      <w:lang w:val="en-US" w:eastAsia="zh-CN" w:bidi="ar"/>
                    </w:rPr>
                    <w:t>3、</w:t>
                  </w:r>
                  <w:bookmarkEnd w:id="17"/>
                  <w:r>
                    <w:rPr>
                      <w:rFonts w:hint="eastAsia" w:ascii="宋体" w:hAnsi="宋体" w:eastAsia="宋体" w:cs="宋体"/>
                      <w:b/>
                      <w:bCs/>
                      <w:kern w:val="0"/>
                      <w:sz w:val="24"/>
                      <w:szCs w:val="22"/>
                      <w:lang w:val="en-US" w:eastAsia="zh-CN" w:bidi="ar"/>
                    </w:rPr>
                    <w:t>临床药学管理</w:t>
                  </w:r>
                </w:p>
                <w:p>
                  <w:pPr>
                    <w:snapToGrid w:val="0"/>
                    <w:spacing w:line="360" w:lineRule="auto"/>
                    <w:ind w:firstLine="480" w:firstLineChars="200"/>
                    <w:rPr>
                      <w:rFonts w:hint="eastAsia" w:ascii="宋体" w:hAnsi="宋体" w:eastAsia="宋体" w:cs="宋体"/>
                      <w:kern w:val="0"/>
                      <w:sz w:val="24"/>
                      <w:szCs w:val="22"/>
                      <w:lang w:val="en-US" w:eastAsia="zh-CN" w:bidi="ar"/>
                    </w:rPr>
                  </w:pPr>
                  <w:bookmarkStart w:id="18" w:name="_Toc123445473"/>
                  <w:r>
                    <w:rPr>
                      <w:rFonts w:hint="eastAsia" w:ascii="宋体" w:hAnsi="宋体" w:eastAsia="宋体" w:cs="宋体"/>
                      <w:kern w:val="0"/>
                      <w:sz w:val="24"/>
                      <w:szCs w:val="22"/>
                      <w:lang w:val="en-US" w:eastAsia="zh-CN" w:bidi="ar"/>
                    </w:rPr>
                    <w:t>运用信息技术实现处方（医嘱）点评、多学科专家点评、抗菌药物专项管控、PPI药物使用管理和超说明书专项管控等功能，可以实现自动化点评和药物专项管理功能，帮助医院药学管理人员快速、高效地完成临床药学工作，实现对医院药学工作的信息化管理。</w:t>
                  </w:r>
                </w:p>
                <w:p>
                  <w:pPr>
                    <w:snapToGrid w:val="0"/>
                    <w:spacing w:line="360" w:lineRule="auto"/>
                    <w:ind w:firstLine="241" w:firstLineChars="100"/>
                    <w:rPr>
                      <w:rFonts w:hint="eastAsia" w:ascii="宋体" w:hAnsi="宋体" w:eastAsia="宋体" w:cs="宋体"/>
                      <w:b/>
                      <w:bCs/>
                      <w:kern w:val="0"/>
                      <w:sz w:val="24"/>
                      <w:szCs w:val="22"/>
                      <w:lang w:val="en-US" w:eastAsia="zh-CN" w:bidi="ar"/>
                    </w:rPr>
                  </w:pPr>
                  <w:r>
                    <w:rPr>
                      <w:rFonts w:hint="eastAsia" w:ascii="宋体" w:hAnsi="宋体" w:eastAsia="宋体" w:cs="宋体"/>
                      <w:b/>
                      <w:bCs/>
                      <w:kern w:val="0"/>
                      <w:sz w:val="24"/>
                      <w:szCs w:val="22"/>
                      <w:lang w:val="en-US" w:eastAsia="zh-CN" w:bidi="ar"/>
                    </w:rPr>
                    <w:t>4、</w:t>
                  </w:r>
                  <w:bookmarkEnd w:id="18"/>
                  <w:r>
                    <w:rPr>
                      <w:rFonts w:hint="eastAsia" w:ascii="宋体" w:hAnsi="宋体" w:eastAsia="宋体" w:cs="宋体"/>
                      <w:b/>
                      <w:bCs/>
                      <w:kern w:val="0"/>
                      <w:sz w:val="24"/>
                      <w:szCs w:val="22"/>
                      <w:lang w:val="en-US" w:eastAsia="zh-CN" w:bidi="ar"/>
                    </w:rPr>
                    <w:t>药事质控中心</w:t>
                  </w:r>
                </w:p>
                <w:p>
                  <w:pPr>
                    <w:keepNext w:val="0"/>
                    <w:keepLines w:val="0"/>
                    <w:pageBreakBefore w:val="0"/>
                    <w:widowControl w:val="0"/>
                    <w:kinsoku/>
                    <w:wordWrap/>
                    <w:overflowPunct/>
                    <w:topLinePunct w:val="0"/>
                    <w:autoSpaceDE w:val="0"/>
                    <w:autoSpaceDN w:val="0"/>
                    <w:bidi w:val="0"/>
                    <w:adjustRightInd/>
                    <w:snapToGrid w:val="0"/>
                    <w:spacing w:line="360" w:lineRule="auto"/>
                    <w:ind w:left="330" w:leftChars="150" w:firstLine="480" w:firstLineChars="200"/>
                    <w:jc w:val="left"/>
                    <w:textAlignment w:val="auto"/>
                    <w:rPr>
                      <w:rFonts w:hint="eastAsia" w:cs="宋体"/>
                      <w:b w:val="0"/>
                      <w:bCs w:val="0"/>
                      <w:spacing w:val="0"/>
                      <w:kern w:val="0"/>
                      <w:sz w:val="24"/>
                      <w:szCs w:val="24"/>
                      <w:vertAlign w:val="baseline"/>
                      <w:lang w:val="en-US" w:eastAsia="zh-CN" w:bidi="zh-CN"/>
                    </w:rPr>
                  </w:pPr>
                  <w:r>
                    <w:rPr>
                      <w:rFonts w:hint="eastAsia" w:ascii="宋体" w:hAnsi="宋体" w:eastAsia="宋体" w:cs="宋体"/>
                      <w:kern w:val="0"/>
                      <w:sz w:val="24"/>
                      <w:szCs w:val="22"/>
                      <w:lang w:val="en-US" w:eastAsia="zh-Hans" w:bidi="ar"/>
                    </w:rPr>
                    <w:t>系统自动生成丰富的国家、省市、医院管理报表，提供各类药品使用指标，从多个维度进行统计分析，形成可视化数据为药事质控和绩效管理提供依据，帮助医院管理部门提高工作效率。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00" w:type="pct"/>
                  <w:gridSpan w:val="1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bCs/>
                      <w:spacing w:val="0"/>
                      <w:kern w:val="0"/>
                      <w:sz w:val="24"/>
                      <w:szCs w:val="24"/>
                      <w:lang w:val="en-US" w:eastAsia="zh-CN" w:bidi="zh-CN"/>
                    </w:rPr>
                    <w:t>（二）</w:t>
                  </w:r>
                  <w:r>
                    <w:rPr>
                      <w:rFonts w:hint="eastAsia" w:ascii="宋体" w:hAnsi="宋体" w:eastAsia="宋体" w:cs="宋体"/>
                      <w:b/>
                      <w:bCs/>
                      <w:spacing w:val="0"/>
                      <w:kern w:val="0"/>
                      <w:sz w:val="24"/>
                      <w:szCs w:val="24"/>
                      <w:lang w:val="en-US" w:eastAsia="zh-CN" w:bidi="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00" w:type="pct"/>
                  <w:gridSpan w:val="12"/>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宋体" w:hAnsi="宋体" w:eastAsia="宋体" w:cs="宋体"/>
                      <w:b w:val="0"/>
                      <w:bCs w:val="0"/>
                      <w:spacing w:val="0"/>
                      <w:kern w:val="0"/>
                      <w:sz w:val="24"/>
                      <w:szCs w:val="24"/>
                      <w:vertAlign w:val="baseline"/>
                      <w:lang w:val="en-US" w:eastAsia="zh-CN" w:bidi="zh-CN"/>
                    </w:rPr>
                  </w:pPr>
                  <w:r>
                    <w:rPr>
                      <w:rFonts w:hint="eastAsia" w:cs="宋体"/>
                      <w:b/>
                      <w:bCs/>
                      <w:spacing w:val="0"/>
                      <w:sz w:val="24"/>
                      <w:szCs w:val="24"/>
                      <w:lang w:val="en-US" w:eastAsia="zh-CN" w:bidi="zh-CN"/>
                    </w:rPr>
                    <w:t>一</w:t>
                  </w:r>
                  <w:r>
                    <w:rPr>
                      <w:rFonts w:hint="eastAsia" w:ascii="宋体" w:hAnsi="宋体" w:eastAsia="宋体" w:cs="宋体"/>
                      <w:b/>
                      <w:bCs/>
                      <w:spacing w:val="0"/>
                      <w:sz w:val="24"/>
                      <w:szCs w:val="24"/>
                      <w:lang w:val="en-US" w:eastAsia="zh-CN" w:bidi="zh-CN"/>
                    </w:rPr>
                    <w:t>、</w:t>
                  </w:r>
                  <w:r>
                    <w:rPr>
                      <w:rFonts w:hint="default" w:ascii="宋体" w:hAnsi="宋体" w:eastAsia="宋体" w:cs="宋体"/>
                      <w:b/>
                      <w:bCs/>
                      <w:spacing w:val="0"/>
                      <w:sz w:val="24"/>
                      <w:szCs w:val="24"/>
                      <w:lang w:val="en-US" w:eastAsia="zh-CN" w:bidi="zh-CN"/>
                    </w:rPr>
                    <w:t>技术参数</w:t>
                  </w:r>
                  <w:r>
                    <w:rPr>
                      <w:rFonts w:hint="default" w:ascii="宋体" w:hAnsi="宋体" w:eastAsia="宋体" w:cs="宋体"/>
                      <w:b w:val="0"/>
                      <w:bCs w:val="0"/>
                      <w:spacing w:val="0"/>
                      <w:sz w:val="24"/>
                      <w:szCs w:val="24"/>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gridSpan w:val="12"/>
                  <w:vAlign w:val="center"/>
                </w:tcPr>
                <w:p>
                  <w:pPr>
                    <w:numPr>
                      <w:ilvl w:val="0"/>
                      <w:numId w:val="20"/>
                    </w:numPr>
                    <w:bidi w:val="0"/>
                    <w:spacing w:line="360" w:lineRule="auto"/>
                    <w:ind w:left="425" w:leftChars="0" w:hanging="425" w:firstLineChars="0"/>
                    <w:rPr>
                      <w:rFonts w:hint="eastAsia"/>
                      <w:sz w:val="36"/>
                      <w:szCs w:val="36"/>
                    </w:rPr>
                  </w:pPr>
                  <w:r>
                    <w:rPr>
                      <w:rFonts w:hint="eastAsia"/>
                      <w:sz w:val="36"/>
                      <w:szCs w:val="36"/>
                    </w:rPr>
                    <w:t>药事管理平台</w:t>
                  </w:r>
                </w:p>
                <w:p>
                  <w:pPr>
                    <w:numPr>
                      <w:ilvl w:val="1"/>
                      <w:numId w:val="21"/>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医生药师监测</w:t>
                  </w:r>
                  <w:r>
                    <w:rPr>
                      <w:rFonts w:hint="eastAsia" w:ascii="宋体" w:hAnsi="宋体" w:eastAsia="宋体" w:cs="宋体"/>
                      <w:sz w:val="36"/>
                      <w:szCs w:val="36"/>
                      <w:lang w:val="en-US" w:eastAsia="zh-CN"/>
                    </w:rPr>
                    <w:tab/>
                  </w:r>
                </w:p>
                <w:p>
                  <w:pPr>
                    <w:snapToGrid w:val="0"/>
                    <w:spacing w:line="360" w:lineRule="auto"/>
                    <w:ind w:firstLine="0" w:firstLineChars="0"/>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支持医院药学部领导查看全院药师、医生使用平台的情况，便于通观全局，对药事管理平台工作进行管理和协调。</w:t>
                  </w:r>
                </w:p>
                <w:p>
                  <w:pPr>
                    <w:numPr>
                      <w:ilvl w:val="1"/>
                      <w:numId w:val="21"/>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权限管控</w:t>
                  </w:r>
                  <w:r>
                    <w:rPr>
                      <w:rFonts w:hint="eastAsia" w:ascii="宋体" w:hAnsi="宋体" w:eastAsia="宋体" w:cs="宋体"/>
                      <w:sz w:val="36"/>
                      <w:szCs w:val="36"/>
                      <w:lang w:val="en-US" w:eastAsia="zh-CN"/>
                    </w:rPr>
                    <w:tab/>
                  </w:r>
                </w:p>
                <w:p>
                  <w:pPr>
                    <w:snapToGrid w:val="0"/>
                    <w:spacing w:line="360" w:lineRule="auto"/>
                    <w:ind w:firstLine="0" w:firstLineChars="0"/>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支持医院药学部领导对平台使用用户进行权限管控。</w:t>
                  </w:r>
                </w:p>
                <w:p>
                  <w:pPr>
                    <w:numPr>
                      <w:ilvl w:val="1"/>
                      <w:numId w:val="21"/>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部门消息管理</w:t>
                  </w:r>
                  <w:r>
                    <w:rPr>
                      <w:rFonts w:hint="eastAsia" w:ascii="宋体" w:hAnsi="宋体" w:eastAsia="宋体" w:cs="宋体"/>
                      <w:sz w:val="36"/>
                      <w:szCs w:val="36"/>
                      <w:lang w:val="en-US" w:eastAsia="zh-CN"/>
                    </w:rPr>
                    <w:tab/>
                  </w:r>
                </w:p>
                <w:p>
                  <w:pPr>
                    <w:snapToGrid w:val="0"/>
                    <w:spacing w:line="360" w:lineRule="auto"/>
                    <w:ind w:firstLine="480" w:firstLineChars="200"/>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支持医院药学部门及时发布审方相关消息，可以根据院区、科室、用户、角色发布通知，通知包含标题、正文、附件等，可以查看消息阅读的情况，用于药学部发布制度、重点药物管控政策、不合理用药通报、医生药学知识培训等。</w:t>
                  </w:r>
                </w:p>
                <w:p>
                  <w:pPr>
                    <w:numPr>
                      <w:ilvl w:val="1"/>
                      <w:numId w:val="21"/>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使用记录</w:t>
                  </w:r>
                  <w:r>
                    <w:rPr>
                      <w:rFonts w:hint="eastAsia" w:ascii="宋体" w:hAnsi="宋体" w:eastAsia="宋体" w:cs="宋体"/>
                      <w:sz w:val="36"/>
                      <w:szCs w:val="36"/>
                      <w:lang w:val="en-US" w:eastAsia="zh-CN"/>
                    </w:rPr>
                    <w:tab/>
                  </w:r>
                </w:p>
                <w:p>
                  <w:pPr>
                    <w:numPr>
                      <w:ilvl w:val="2"/>
                      <w:numId w:val="21"/>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异常访问</w:t>
                  </w:r>
                </w:p>
                <w:p>
                  <w:pPr>
                    <w:snapToGrid w:val="0"/>
                    <w:spacing w:line="360" w:lineRule="auto"/>
                    <w:ind w:firstLine="480" w:firstLineChars="200"/>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药师查询用户访问菜单及菜单名称的次数，排查异常访问情况。</w:t>
                  </w:r>
                </w:p>
                <w:p>
                  <w:pPr>
                    <w:numPr>
                      <w:ilvl w:val="2"/>
                      <w:numId w:val="21"/>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访问次数和时长</w:t>
                  </w:r>
                </w:p>
                <w:p>
                  <w:pPr>
                    <w:snapToGrid w:val="0"/>
                    <w:spacing w:line="360" w:lineRule="auto"/>
                    <w:ind w:firstLine="480" w:firstLineChars="200"/>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提供访问时间点击数、访问链接点击数和访问人点击数的图形化页面，从连续的时间段中查看。系统提供用户详细的访问数据。</w:t>
                  </w:r>
                </w:p>
                <w:p>
                  <w:pPr>
                    <w:numPr>
                      <w:ilvl w:val="0"/>
                      <w:numId w:val="20"/>
                    </w:numPr>
                    <w:bidi w:val="0"/>
                    <w:spacing w:line="360" w:lineRule="auto"/>
                    <w:ind w:left="425" w:leftChars="0" w:hanging="425"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合理用药监测</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医生工作站</w:t>
                  </w:r>
                  <w:r>
                    <w:rPr>
                      <w:rFonts w:hint="eastAsia" w:ascii="宋体" w:hAnsi="宋体" w:eastAsia="宋体" w:cs="宋体"/>
                      <w:sz w:val="36"/>
                      <w:szCs w:val="36"/>
                      <w:lang w:val="en-US" w:eastAsia="zh-CN"/>
                    </w:rPr>
                    <w:tab/>
                  </w:r>
                </w:p>
                <w:p>
                  <w:pPr>
                    <w:spacing w:line="360" w:lineRule="auto"/>
                    <w:ind w:firstLine="480" w:firstLineChars="200"/>
                    <w:rPr>
                      <w:rFonts w:hint="eastAsia" w:ascii="宋体" w:hAnsi="宋体" w:eastAsia="宋体" w:cs="宋体"/>
                      <w:sz w:val="24"/>
                      <w:lang w:val="en-US" w:eastAsia="zh-CN" w:bidi="ar"/>
                    </w:rPr>
                  </w:pPr>
                  <w:r>
                    <w:rPr>
                      <w:rFonts w:hint="eastAsia" w:ascii="宋体" w:hAnsi="宋体" w:eastAsia="宋体" w:cs="宋体"/>
                      <w:sz w:val="24"/>
                      <w:lang w:val="en-US" w:eastAsia="zh-CN" w:bidi="ar"/>
                    </w:rPr>
                    <w:t>嵌入医生工作站进行弹框提醒，医生可以查看警示信息，填写用药依据，查看消息，查看药品说明书和使用医药计算公式等。</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合理用药查询</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包含实时药师查询、门急诊药师查询、住院药师查询、门急诊8级拦截日志查询、住院8级拦截日志查询、门急诊审核历史查询、住院审核历史查询、发药记录查询。</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合理用药分析</w:t>
                  </w:r>
                  <w:r>
                    <w:rPr>
                      <w:rFonts w:hint="eastAsia" w:ascii="宋体" w:hAnsi="宋体" w:eastAsia="宋体" w:cs="宋体"/>
                      <w:sz w:val="36"/>
                      <w:szCs w:val="36"/>
                      <w:lang w:val="en-US" w:eastAsia="zh-CN"/>
                    </w:rPr>
                    <w:tab/>
                  </w:r>
                </w:p>
                <w:p>
                  <w:pPr>
                    <w:spacing w:line="360" w:lineRule="auto"/>
                    <w:rPr>
                      <w:rFonts w:hint="eastAsia"/>
                      <w:lang w:val="en-US" w:eastAsia="zh-CN"/>
                    </w:rPr>
                  </w:pPr>
                  <w:r>
                    <w:rPr>
                      <w:rFonts w:hint="default" w:ascii="宋体" w:hAnsi="宋体" w:eastAsia="宋体" w:cs="宋体"/>
                      <w:kern w:val="0"/>
                      <w:sz w:val="24"/>
                      <w:szCs w:val="22"/>
                      <w:lang w:val="en-US" w:eastAsia="zh-CN" w:bidi="zh-CN"/>
                    </w:rPr>
                    <w:t>包含门诊规则分析、住院规则分析、警示类型问题分析、处方类型问题分析。</w:t>
                  </w:r>
                </w:p>
                <w:p>
                  <w:pPr>
                    <w:numPr>
                      <w:ilvl w:val="0"/>
                      <w:numId w:val="20"/>
                    </w:numPr>
                    <w:bidi w:val="0"/>
                    <w:spacing w:line="360" w:lineRule="auto"/>
                    <w:ind w:left="425" w:leftChars="0" w:hanging="425"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前置审方中心</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规则管理中心</w:t>
                  </w:r>
                  <w:r>
                    <w:rPr>
                      <w:rFonts w:hint="eastAsia" w:ascii="宋体" w:hAnsi="宋体" w:eastAsia="宋体" w:cs="宋体"/>
                      <w:sz w:val="36"/>
                      <w:szCs w:val="36"/>
                      <w:lang w:val="en-US" w:eastAsia="zh-CN"/>
                    </w:rPr>
                    <w:tab/>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规则管理</w:t>
                  </w:r>
                </w:p>
                <w:p>
                  <w:pPr>
                    <w:numPr>
                      <w:ilvl w:val="0"/>
                      <w:numId w:val="22"/>
                    </w:numPr>
                    <w:spacing w:line="360" w:lineRule="auto"/>
                    <w:ind w:left="425" w:hanging="425" w:firstLineChars="0"/>
                    <w:rPr>
                      <w:rFonts w:hint="eastAsia"/>
                      <w:lang w:val="en-US" w:eastAsia="zh-CN"/>
                    </w:rPr>
                  </w:pPr>
                  <w:r>
                    <w:rPr>
                      <w:rFonts w:hint="eastAsia"/>
                      <w:lang w:val="en-US" w:eastAsia="zh-CN"/>
                    </w:rPr>
                    <w:t>系统支持通过药品规则管理列表和自定义规则设计器对规则进行管理，包含新增、调高（低）级别、调整警示信息、调整处理办法、调整是否必须药师审方、调整是否停用（门诊、住院分别停用），可以直接查看规则触发情况，自行修正规则。</w:t>
                  </w:r>
                  <w:r>
                    <w:rPr>
                      <w:rFonts w:hint="eastAsia" w:asciiTheme="minorEastAsia" w:hAnsiTheme="minorEastAsia" w:eastAsiaTheme="minorEastAsia" w:cstheme="minorEastAsia"/>
                      <w:color w:val="auto"/>
                      <w:kern w:val="0"/>
                      <w:szCs w:val="21"/>
                      <w:highlight w:val="none"/>
                    </w:rPr>
                    <w:t>【需要提供真实产品演示】</w:t>
                  </w:r>
                </w:p>
                <w:p>
                  <w:pPr>
                    <w:numPr>
                      <w:ilvl w:val="0"/>
                      <w:numId w:val="22"/>
                    </w:numPr>
                    <w:spacing w:line="360" w:lineRule="auto"/>
                    <w:ind w:left="425" w:hanging="425" w:firstLineChars="0"/>
                    <w:rPr>
                      <w:rFonts w:hint="eastAsia"/>
                      <w:lang w:val="en-US" w:eastAsia="zh-CN"/>
                    </w:rPr>
                  </w:pPr>
                  <w:r>
                    <w:rPr>
                      <w:rFonts w:hint="eastAsia"/>
                      <w:lang w:val="en-US" w:eastAsia="zh-CN"/>
                    </w:rPr>
                    <w:t>系统应提供审方相关的案例库，供医院进行参考是否引用。</w:t>
                  </w:r>
                </w:p>
                <w:p>
                  <w:pPr>
                    <w:numPr>
                      <w:ilvl w:val="0"/>
                      <w:numId w:val="22"/>
                    </w:numPr>
                    <w:spacing w:line="360" w:lineRule="auto"/>
                    <w:ind w:left="425" w:hanging="425" w:firstLineChars="0"/>
                    <w:rPr>
                      <w:rFonts w:hint="eastAsia"/>
                      <w:lang w:val="en-US" w:eastAsia="zh-CN"/>
                    </w:rPr>
                  </w:pPr>
                  <w:r>
                    <w:rPr>
                      <w:rFonts w:hint="eastAsia"/>
                      <w:lang w:val="en-US" w:eastAsia="zh-CN"/>
                    </w:rPr>
                    <w:t>系统可根据患者属性、医院属性、处方信息、药品信息、合用药品信息、手术用药、检验信息、医疗属性、处方属性、统计属性10大类属性100+警示类型进行精准审核。</w:t>
                  </w:r>
                </w:p>
                <w:p>
                  <w:pPr>
                    <w:numPr>
                      <w:ilvl w:val="0"/>
                      <w:numId w:val="22"/>
                    </w:numPr>
                    <w:spacing w:line="360" w:lineRule="auto"/>
                    <w:ind w:left="425" w:hanging="425" w:firstLineChars="0"/>
                    <w:rPr>
                      <w:rFonts w:hint="eastAsia"/>
                      <w:lang w:val="en-US" w:eastAsia="zh-CN"/>
                    </w:rPr>
                  </w:pPr>
                  <w:r>
                    <w:rPr>
                      <w:rFonts w:hint="eastAsia"/>
                      <w:lang w:val="en-US" w:eastAsia="zh-CN"/>
                    </w:rPr>
                    <w:t>系统支持药品规则管理列表多个条件及多个组合条件查询所有规则，支持直接完善规则，支持规则库下载。</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联合审方</w:t>
                  </w:r>
                </w:p>
                <w:p>
                  <w:pPr>
                    <w:numPr>
                      <w:ilvl w:val="0"/>
                      <w:numId w:val="23"/>
                    </w:numPr>
                    <w:spacing w:line="360" w:lineRule="auto"/>
                    <w:ind w:left="425" w:hanging="425" w:firstLineChars="0"/>
                    <w:rPr>
                      <w:rFonts w:hint="eastAsia"/>
                      <w:lang w:val="en-US" w:eastAsia="zh-CN"/>
                    </w:rPr>
                  </w:pPr>
                  <w:r>
                    <w:rPr>
                      <w:rFonts w:hint="eastAsia"/>
                      <w:lang w:val="en-US" w:eastAsia="zh-CN"/>
                    </w:rPr>
                    <w:t>医生保存处方时软件能多张处方联合审核监测，对同一患者一定时间段内不同科室开具的不同处方进行联合审查用药，并提示给医生。</w:t>
                  </w:r>
                </w:p>
                <w:p>
                  <w:pPr>
                    <w:numPr>
                      <w:ilvl w:val="0"/>
                      <w:numId w:val="23"/>
                    </w:numPr>
                    <w:spacing w:line="360" w:lineRule="auto"/>
                    <w:ind w:left="425" w:hanging="425" w:firstLineChars="0"/>
                    <w:rPr>
                      <w:rFonts w:hint="eastAsia"/>
                      <w:lang w:val="en-US" w:eastAsia="zh-CN"/>
                    </w:rPr>
                  </w:pPr>
                  <w:r>
                    <w:rPr>
                      <w:rFonts w:hint="eastAsia"/>
                      <w:lang w:val="en-US" w:eastAsia="zh-CN"/>
                    </w:rPr>
                    <w:t>支持时间段自定义。</w:t>
                  </w:r>
                </w:p>
                <w:p>
                  <w:pPr>
                    <w:numPr>
                      <w:ilvl w:val="0"/>
                      <w:numId w:val="23"/>
                    </w:numPr>
                    <w:spacing w:line="360" w:lineRule="auto"/>
                    <w:ind w:left="425" w:hanging="425" w:firstLineChars="0"/>
                    <w:rPr>
                      <w:rFonts w:hint="eastAsia"/>
                      <w:lang w:val="en-US" w:eastAsia="zh-CN"/>
                    </w:rPr>
                  </w:pPr>
                  <w:r>
                    <w:rPr>
                      <w:rFonts w:hint="eastAsia"/>
                      <w:lang w:val="en-US" w:eastAsia="zh-CN"/>
                    </w:rPr>
                    <w:t>支持住院患者长嘱与临嘱之间的联合审方。</w:t>
                  </w:r>
                </w:p>
                <w:p>
                  <w:pPr>
                    <w:numPr>
                      <w:ilvl w:val="0"/>
                      <w:numId w:val="23"/>
                    </w:numPr>
                    <w:spacing w:line="360" w:lineRule="auto"/>
                    <w:ind w:left="425" w:hanging="425" w:firstLineChars="0"/>
                    <w:rPr>
                      <w:rFonts w:hint="eastAsia"/>
                      <w:lang w:val="en-US" w:eastAsia="zh-CN"/>
                    </w:rPr>
                  </w:pPr>
                  <w:r>
                    <w:rPr>
                      <w:rFonts w:hint="eastAsia"/>
                      <w:lang w:val="en-US" w:eastAsia="zh-CN"/>
                    </w:rPr>
                    <w:t>支持对出院带药进行审核；</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处方（医嘱）审查项目</w:t>
                  </w:r>
                  <w:r>
                    <w:rPr>
                      <w:rFonts w:hint="eastAsia" w:ascii="宋体" w:hAnsi="宋体" w:eastAsia="宋体" w:cs="宋体"/>
                      <w:sz w:val="36"/>
                      <w:szCs w:val="36"/>
                      <w:lang w:val="en-US" w:eastAsia="zh-CN"/>
                    </w:rPr>
                    <w:tab/>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处方（医嘱）合法性审查</w:t>
                  </w:r>
                </w:p>
                <w:p>
                  <w:pPr>
                    <w:numPr>
                      <w:ilvl w:val="0"/>
                      <w:numId w:val="24"/>
                    </w:numPr>
                    <w:spacing w:line="360" w:lineRule="auto"/>
                    <w:ind w:left="425" w:hanging="425" w:firstLineChars="0"/>
                    <w:rPr>
                      <w:rFonts w:hint="eastAsia"/>
                      <w:lang w:val="en-US" w:eastAsia="zh-CN"/>
                    </w:rPr>
                  </w:pPr>
                  <w:r>
                    <w:rPr>
                      <w:rFonts w:hint="eastAsia"/>
                      <w:lang w:val="en-US" w:eastAsia="zh-CN"/>
                    </w:rPr>
                    <w:t>系统提供处方（医嘱）的合法性审核规则，用户也可以自行新增规则。</w:t>
                  </w:r>
                </w:p>
                <w:p>
                  <w:pPr>
                    <w:numPr>
                      <w:ilvl w:val="0"/>
                      <w:numId w:val="24"/>
                    </w:numPr>
                    <w:spacing w:line="360" w:lineRule="auto"/>
                    <w:ind w:left="425" w:hanging="425" w:firstLineChars="0"/>
                    <w:rPr>
                      <w:rFonts w:hint="eastAsia"/>
                      <w:lang w:val="en-US" w:eastAsia="zh-CN"/>
                    </w:rPr>
                  </w:pPr>
                  <w:r>
                    <w:rPr>
                      <w:rFonts w:hint="eastAsia"/>
                      <w:lang w:val="en-US" w:eastAsia="zh-CN"/>
                    </w:rPr>
                    <w:t>根据医院规定的医生、科室处方权限类别和对应的药品清单，检查医生开出的处方药品是否在其可以使用的权限范围内，可以对越权用药行为进行警示提醒，监控医生越级使用抗菌药物、越级使用特殊管制药品。</w:t>
                  </w:r>
                </w:p>
                <w:p>
                  <w:pPr>
                    <w:numPr>
                      <w:ilvl w:val="0"/>
                      <w:numId w:val="24"/>
                    </w:numPr>
                    <w:spacing w:line="360" w:lineRule="auto"/>
                    <w:ind w:left="425" w:hanging="425" w:firstLineChars="0"/>
                    <w:rPr>
                      <w:rFonts w:hint="eastAsia"/>
                      <w:lang w:val="en-US" w:eastAsia="zh-CN"/>
                    </w:rPr>
                  </w:pPr>
                  <w:r>
                    <w:rPr>
                      <w:rFonts w:hint="eastAsia"/>
                      <w:lang w:val="en-US" w:eastAsia="zh-CN"/>
                    </w:rPr>
                    <w:t>支持药师对医生处方权限进行管理，包含抗菌药物处方权限，抗肿瘤药物处方权限，毒麻精放处方权，首选集采权限，一、二类精神药物使用权。</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处方（医嘱）规范性审查</w:t>
                  </w:r>
                </w:p>
                <w:p>
                  <w:pPr>
                    <w:numPr>
                      <w:ilvl w:val="0"/>
                      <w:numId w:val="25"/>
                    </w:numPr>
                    <w:spacing w:line="360" w:lineRule="auto"/>
                    <w:ind w:left="425" w:hanging="425" w:firstLineChars="0"/>
                    <w:rPr>
                      <w:rFonts w:hint="eastAsia"/>
                      <w:lang w:val="en-US" w:eastAsia="zh-CN"/>
                    </w:rPr>
                  </w:pPr>
                  <w:r>
                    <w:rPr>
                      <w:rFonts w:hint="eastAsia"/>
                      <w:lang w:val="en-US" w:eastAsia="zh-CN"/>
                    </w:rPr>
                    <w:t>系统提供处方（医嘱）的规范性审核规则，用户也可以自行新增规则。</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支持药师进行处方的前记、正文、后记内容缺项的审核。根据《处方管理办法》，药品剂量、规格、用法、用量等不得使用“遵医嘱”、“自用”等含糊不清字句。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支持药师进行诊断为空或者未填完整的处方/医嘱审查。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支持药师进行诊断书写不规范审查，如男性诊断为妊娠，女性50岁以上诊断为诊娠审查。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支持药师进行中药饮片、中药注射剂未单独开具处方的审查。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支持药师进行门急诊开具西药、中成药处方，每张处方不得超过5种药品审查。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支持药师进行应该单独开具处方的审查。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支持药师进行门诊（医嘱）开具中药饮片，每张处方（医嘱）超过18味药品的审查。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支持药师进行开具妊娠用药应该单独处方审查。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支持药师进行处方一般不得超过7日用量；急诊处方一般不得超过3日用量审查。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支持药师进行审查处方（医嘱）的毒麻精放兴奋剂药品特殊注意事项的审查。</w:t>
                  </w:r>
                </w:p>
                <w:p>
                  <w:pPr>
                    <w:numPr>
                      <w:ilvl w:val="0"/>
                      <w:numId w:val="25"/>
                    </w:numPr>
                    <w:spacing w:line="360" w:lineRule="auto"/>
                    <w:ind w:left="425" w:hanging="425" w:firstLineChars="0"/>
                    <w:rPr>
                      <w:rFonts w:hint="eastAsia"/>
                      <w:lang w:val="en-US" w:eastAsia="zh-CN"/>
                    </w:rPr>
                  </w:pPr>
                  <w:r>
                    <w:rPr>
                      <w:rFonts w:hint="eastAsia"/>
                      <w:lang w:val="en-US" w:eastAsia="zh-CN"/>
                    </w:rPr>
                    <w:t>支持药师进行高危药品的审查，提醒医生要特别注意患者的生理变化。</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西药/中成药处方（医嘱）适宜性审查：</w:t>
                  </w:r>
                </w:p>
                <w:p>
                  <w:pPr>
                    <w:numPr>
                      <w:ilvl w:val="0"/>
                      <w:numId w:val="26"/>
                    </w:numPr>
                    <w:spacing w:line="360" w:lineRule="auto"/>
                    <w:ind w:left="425" w:hanging="425" w:firstLineChars="0"/>
                    <w:rPr>
                      <w:rFonts w:hint="eastAsia"/>
                      <w:lang w:val="en-US" w:eastAsia="zh-CN"/>
                    </w:rPr>
                  </w:pPr>
                  <w:r>
                    <w:rPr>
                      <w:rFonts w:hint="eastAsia"/>
                      <w:lang w:val="en-US" w:eastAsia="zh-CN"/>
                    </w:rPr>
                    <w:t>系统提供西药/中成药处方（医嘱）的适宜性审核规则，用户也可以自行新增规则。</w:t>
                  </w:r>
                </w:p>
                <w:p>
                  <w:pPr>
                    <w:numPr>
                      <w:ilvl w:val="0"/>
                      <w:numId w:val="26"/>
                    </w:numPr>
                    <w:spacing w:line="360" w:lineRule="auto"/>
                    <w:ind w:left="425" w:hanging="425" w:firstLineChars="0"/>
                    <w:rPr>
                      <w:rFonts w:hint="eastAsia"/>
                      <w:lang w:val="en-US" w:eastAsia="zh-CN"/>
                    </w:rPr>
                  </w:pPr>
                  <w:r>
                    <w:rPr>
                      <w:rFonts w:hint="eastAsia"/>
                      <w:lang w:val="en-US" w:eastAsia="zh-CN"/>
                    </w:rPr>
                    <w:t>支持药师设置规则审核依据次序，比如成人用药按照说明书、临床用药须知、诸福棠儿科学顺序进行审查；儿童用法用量按照说明书、诸福棠儿科学、临床用药须知顺序进行审查。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支持药师进行西药诊断与用药不符的审查，药师可以通过设置药理分类、科室、药品、年龄、性别等条件，新增诊断与用药不符的规则。</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支持药师进行中成药（含中药饮片）诊断与用药不符的审查，审查使用的药品是否具有正确的西医诊断、中医诊断、中医证候。如：清开灵口服液，功能主治/适应症为清热解毒，镇静安神。</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支持药师进行处方（医嘱）中是否存在该患者禁忌使用的药品的审查。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支持药师进行处方（医嘱）中是否存在中医诊断禁忌、中医证候禁忌（慎用）的审查。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支持药师进行门诊特定疾病诊断适用范围的审查，如医保待遇类型；</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支持药师进行超说明书用药审查；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支持药师进行处方中给药时机的审查；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支持药师进行处方中用药结合检验值的审查；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支持药师进行药物过敏史的审查；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支持药师进行需要皮试药物的审查。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支持药师进行给药途径的审查，具体到每个药物。</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支持药师进行不同诊断、不同人群、不同年龄段情况下用药的剂量审查，包含每次剂量，每日剂量，疗程剂量，不同频次剂量。</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支持药师进行每公斤每次给药用量、每公斤每日给药用量、每公斤累积最大用量的审查。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支持药师进行特殊用药每平方米每次给药剂量审查，如肿瘤用药伊达比星。</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支持药师进行特殊剂型药物的剂量审查，这些药物不可掰开剂量开具。</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支持药师进行中药注射剂剂量审查，如审查中成药注射剂【用法用量】无标示“遵医嘱”，必须严格按照药品说明书推荐的剂量、调配要求、给药速度、疗程使用药品。</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支持药师进行合用药品时剂量审查：如利多卡因注射液与肾上腺素药品合用时，每次剂量不超过每7mg/kg；如不用肾上腺素，每次剂量不超过4.5mg/kg。</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支持药师进行不同年龄段药物使用的剂量审查；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支持药师进行同给药途径年龄段用药剂量审查；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支持药师麻精药品疗程和总数量审查；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支持药师进行药品剂量的审查，包含单次极量，每日极量，每公斤每天极量，不同年龄段每日极量，不同给药途径下每日极量；</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支持药师进行特殊人群用药的审查，包含运动员，肝肾功能不全，性别，成人，老年人，儿童，孕产妇，哺乳期妇女，终止妊娠妇女，透析患者等；</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支持药师进行特殊标记药物审查，如毒麻精放药物；</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支持药师进行用药方式的审查，提醒医生注意使用，如避光使用；</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支持药师进行相互作用的审查；</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支持药师进行配伍禁忌的审查，包含未选择溶媒，未正确选择溶媒，配伍浓度不适宜，两种溶液需要冲管，滴速不适宜等；</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支持药师进行钾离子浓度的审查，特别对于可能超过危急值的输液；</w:t>
                  </w:r>
                </w:p>
                <w:p>
                  <w:pPr>
                    <w:numPr>
                      <w:ilvl w:val="0"/>
                      <w:numId w:val="26"/>
                    </w:numPr>
                    <w:spacing w:line="360" w:lineRule="auto"/>
                    <w:ind w:left="425" w:hanging="425" w:firstLineChars="0"/>
                    <w:rPr>
                      <w:rFonts w:hint="eastAsia"/>
                      <w:lang w:val="en-US" w:eastAsia="zh-CN"/>
                    </w:rPr>
                  </w:pPr>
                  <w:r>
                    <w:rPr>
                      <w:rFonts w:hint="eastAsia"/>
                      <w:lang w:val="en-US" w:eastAsia="zh-CN"/>
                    </w:rPr>
                    <w:t>支持药师进行重复用药的审查，包含：</w:t>
                  </w:r>
                </w:p>
                <w:p>
                  <w:pPr>
                    <w:numPr>
                      <w:ilvl w:val="0"/>
                      <w:numId w:val="27"/>
                    </w:numPr>
                    <w:spacing w:line="360" w:lineRule="auto"/>
                    <w:ind w:firstLine="440" w:firstLineChars="200"/>
                    <w:rPr>
                      <w:rFonts w:hint="eastAsia"/>
                      <w:lang w:val="en-US" w:eastAsia="zh-CN"/>
                    </w:rPr>
                  </w:pPr>
                  <w:r>
                    <w:rPr>
                      <w:rFonts w:hint="eastAsia"/>
                      <w:lang w:val="en-US" w:eastAsia="zh-CN"/>
                    </w:rPr>
                    <w:t>同一药品重复用药（抗菌药物除外）；</w:t>
                  </w:r>
                </w:p>
                <w:p>
                  <w:pPr>
                    <w:numPr>
                      <w:ilvl w:val="0"/>
                      <w:numId w:val="27"/>
                    </w:numPr>
                    <w:spacing w:line="360" w:lineRule="auto"/>
                    <w:ind w:firstLine="440" w:firstLineChars="200"/>
                    <w:rPr>
                      <w:rFonts w:hint="eastAsia"/>
                      <w:lang w:val="en-US" w:eastAsia="zh-CN"/>
                    </w:rPr>
                  </w:pPr>
                  <w:r>
                    <w:rPr>
                      <w:rFonts w:hint="eastAsia"/>
                      <w:lang w:val="en-US" w:eastAsia="zh-CN"/>
                    </w:rPr>
                    <w:t>同一最小药理分类的重复用药规则；</w:t>
                  </w:r>
                </w:p>
                <w:p>
                  <w:pPr>
                    <w:numPr>
                      <w:ilvl w:val="0"/>
                      <w:numId w:val="27"/>
                    </w:numPr>
                    <w:spacing w:line="360" w:lineRule="auto"/>
                    <w:ind w:firstLine="440" w:firstLineChars="200"/>
                    <w:rPr>
                      <w:rFonts w:hint="eastAsia"/>
                      <w:lang w:val="en-US" w:eastAsia="zh-CN"/>
                    </w:rPr>
                  </w:pPr>
                  <w:r>
                    <w:rPr>
                      <w:rFonts w:hint="eastAsia"/>
                      <w:lang w:val="en-US" w:eastAsia="zh-CN"/>
                    </w:rPr>
                    <w:t>同一药理分类大类的重复用药规则；</w:t>
                  </w:r>
                </w:p>
                <w:p>
                  <w:pPr>
                    <w:numPr>
                      <w:ilvl w:val="0"/>
                      <w:numId w:val="27"/>
                    </w:numPr>
                    <w:spacing w:line="360" w:lineRule="auto"/>
                    <w:ind w:firstLine="440" w:firstLineChars="200"/>
                    <w:rPr>
                      <w:rFonts w:hint="eastAsia"/>
                      <w:lang w:val="en-US" w:eastAsia="zh-CN"/>
                    </w:rPr>
                  </w:pPr>
                  <w:r>
                    <w:rPr>
                      <w:rFonts w:hint="eastAsia"/>
                      <w:lang w:val="en-US" w:eastAsia="zh-CN"/>
                    </w:rPr>
                    <w:t>抗菌药物序贯治疗；</w:t>
                  </w:r>
                </w:p>
                <w:p>
                  <w:pPr>
                    <w:numPr>
                      <w:ilvl w:val="0"/>
                      <w:numId w:val="27"/>
                    </w:numPr>
                    <w:spacing w:line="360" w:lineRule="auto"/>
                    <w:ind w:firstLine="440" w:firstLineChars="200"/>
                    <w:rPr>
                      <w:rFonts w:hint="eastAsia"/>
                      <w:lang w:val="en-US" w:eastAsia="zh-CN"/>
                    </w:rPr>
                  </w:pPr>
                  <w:r>
                    <w:rPr>
                      <w:rFonts w:hint="eastAsia"/>
                      <w:lang w:val="en-US" w:eastAsia="zh-CN"/>
                    </w:rPr>
                    <w:t>抗菌药物联合用药审查；</w:t>
                  </w:r>
                </w:p>
                <w:p>
                  <w:pPr>
                    <w:numPr>
                      <w:ilvl w:val="0"/>
                      <w:numId w:val="27"/>
                    </w:numPr>
                    <w:spacing w:line="360" w:lineRule="auto"/>
                    <w:ind w:firstLine="440" w:firstLineChars="200"/>
                    <w:rPr>
                      <w:rFonts w:hint="eastAsia"/>
                      <w:lang w:val="en-US" w:eastAsia="zh-CN"/>
                    </w:rPr>
                  </w:pPr>
                  <w:r>
                    <w:rPr>
                      <w:rFonts w:hint="eastAsia"/>
                      <w:lang w:val="en-US" w:eastAsia="zh-CN"/>
                    </w:rPr>
                    <w:t>中成药（含西药成分）与西药的重复用药；</w:t>
                  </w:r>
                </w:p>
                <w:p>
                  <w:pPr>
                    <w:numPr>
                      <w:ilvl w:val="0"/>
                      <w:numId w:val="27"/>
                    </w:numPr>
                    <w:spacing w:line="360" w:lineRule="auto"/>
                    <w:ind w:firstLine="440" w:firstLineChars="200"/>
                    <w:rPr>
                      <w:rFonts w:hint="eastAsia"/>
                      <w:lang w:val="en-US" w:eastAsia="zh-CN"/>
                    </w:rPr>
                  </w:pPr>
                  <w:r>
                    <w:rPr>
                      <w:rFonts w:hint="eastAsia"/>
                      <w:lang w:val="en-US" w:eastAsia="zh-CN"/>
                    </w:rPr>
                    <w:t>中成药间含相同中药成分；</w:t>
                  </w:r>
                </w:p>
                <w:p>
                  <w:pPr>
                    <w:numPr>
                      <w:ilvl w:val="0"/>
                      <w:numId w:val="27"/>
                    </w:numPr>
                    <w:spacing w:line="360" w:lineRule="auto"/>
                    <w:ind w:firstLine="440" w:firstLineChars="200"/>
                    <w:rPr>
                      <w:rFonts w:hint="eastAsia"/>
                      <w:lang w:val="en-US" w:eastAsia="zh-CN"/>
                    </w:rPr>
                  </w:pPr>
                  <w:r>
                    <w:rPr>
                      <w:rFonts w:hint="eastAsia"/>
                      <w:lang w:val="en-US" w:eastAsia="zh-CN"/>
                    </w:rPr>
                    <w:t>中成药与中药饮片的重复用药。</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支持药师进行高警示用药的审查，包含高警示药品A级、B级和C级。</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支持药师进行药品不良反应的审查，警告医生可能造成的风险。</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支持药师进行中药饮片十八反十九畏的审查；</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支持药师进行不可拆零药品开具的审查；</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支持药师进行使用高危药品时进行治疗药物监测指标提醒的审查；</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支持药师进行围手术期用药的审查；</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支持药师进行剩余用药天数的审查；</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支持药师进行药品开具数量限制的审查；</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系统提供临嘱和长嘱联合审查配置；</w:t>
                  </w:r>
                </w:p>
                <w:p>
                  <w:pPr>
                    <w:numPr>
                      <w:ilvl w:val="0"/>
                      <w:numId w:val="26"/>
                    </w:numPr>
                    <w:spacing w:line="360" w:lineRule="auto"/>
                    <w:ind w:left="425" w:hanging="425" w:firstLineChars="0"/>
                    <w:rPr>
                      <w:rFonts w:hint="eastAsia" w:ascii="宋体" w:hAnsi="宋体" w:eastAsia="宋体" w:cs="宋体"/>
                      <w:lang w:val="en-US" w:eastAsia="zh-CN"/>
                    </w:rPr>
                  </w:pPr>
                  <w:r>
                    <w:rPr>
                      <w:rFonts w:hint="eastAsia" w:ascii="宋体" w:hAnsi="宋体" w:eastAsia="宋体" w:cs="宋体"/>
                      <w:lang w:val="en-US" w:eastAsia="zh-CN"/>
                    </w:rPr>
                    <w:t>系统提供不同厂家规则，避免不同厂家的药品规则不同造成的审核差异。</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中药饮片处方（医嘱）适宜性审查：</w:t>
                  </w:r>
                </w:p>
                <w:p>
                  <w:pPr>
                    <w:numPr>
                      <w:ilvl w:val="0"/>
                      <w:numId w:val="28"/>
                    </w:numPr>
                    <w:spacing w:line="360" w:lineRule="auto"/>
                    <w:ind w:left="425" w:hanging="425" w:firstLineChars="0"/>
                    <w:rPr>
                      <w:rFonts w:hint="eastAsia"/>
                      <w:lang w:val="en-US" w:eastAsia="zh-CN"/>
                    </w:rPr>
                  </w:pPr>
                  <w:r>
                    <w:rPr>
                      <w:rFonts w:hint="eastAsia"/>
                      <w:lang w:val="en-US" w:eastAsia="zh-CN"/>
                    </w:rPr>
                    <w:t>支持药师进行中药饮片与中医诊断（病名和证型）不符的审查；</w:t>
                  </w:r>
                </w:p>
                <w:p>
                  <w:pPr>
                    <w:numPr>
                      <w:ilvl w:val="0"/>
                      <w:numId w:val="28"/>
                    </w:numPr>
                    <w:spacing w:line="360" w:lineRule="auto"/>
                    <w:ind w:left="425" w:hanging="425" w:firstLineChars="0"/>
                    <w:rPr>
                      <w:rFonts w:hint="eastAsia"/>
                      <w:lang w:val="en-US" w:eastAsia="zh-CN"/>
                    </w:rPr>
                  </w:pPr>
                  <w:r>
                    <w:rPr>
                      <w:rFonts w:hint="eastAsia"/>
                      <w:lang w:val="en-US" w:eastAsia="zh-CN"/>
                    </w:rPr>
                    <w:t>支持药师进行中药饮片煎煮方法不符的审查；</w:t>
                  </w:r>
                </w:p>
                <w:p>
                  <w:pPr>
                    <w:numPr>
                      <w:ilvl w:val="0"/>
                      <w:numId w:val="28"/>
                    </w:numPr>
                    <w:spacing w:line="360" w:lineRule="auto"/>
                    <w:ind w:left="425" w:hanging="425" w:firstLineChars="0"/>
                    <w:rPr>
                      <w:rFonts w:hint="eastAsia"/>
                      <w:lang w:val="en-US" w:eastAsia="zh-CN"/>
                    </w:rPr>
                  </w:pPr>
                  <w:r>
                    <w:rPr>
                      <w:rFonts w:hint="eastAsia"/>
                      <w:lang w:val="en-US" w:eastAsia="zh-CN"/>
                    </w:rPr>
                    <w:t>支持药师进行中成药与中药饮片成分重复的审查；</w:t>
                  </w:r>
                </w:p>
                <w:p>
                  <w:pPr>
                    <w:numPr>
                      <w:ilvl w:val="0"/>
                      <w:numId w:val="28"/>
                    </w:numPr>
                    <w:spacing w:line="360" w:lineRule="auto"/>
                    <w:ind w:left="425" w:hanging="425" w:firstLineChars="0"/>
                    <w:rPr>
                      <w:rFonts w:hint="eastAsia"/>
                      <w:lang w:val="en-US" w:eastAsia="zh-CN"/>
                    </w:rPr>
                  </w:pPr>
                  <w:r>
                    <w:rPr>
                      <w:rFonts w:hint="eastAsia"/>
                      <w:lang w:val="en-US" w:eastAsia="zh-CN"/>
                    </w:rPr>
                    <w:t>支持药师进行毒麻贵细饮片使用提示的审查；</w:t>
                  </w:r>
                </w:p>
                <w:p>
                  <w:pPr>
                    <w:numPr>
                      <w:ilvl w:val="0"/>
                      <w:numId w:val="28"/>
                    </w:numPr>
                    <w:spacing w:line="360" w:lineRule="auto"/>
                    <w:ind w:left="425" w:hanging="425" w:firstLineChars="0"/>
                    <w:rPr>
                      <w:rFonts w:hint="eastAsia"/>
                      <w:lang w:val="en-US" w:eastAsia="zh-CN"/>
                    </w:rPr>
                  </w:pPr>
                  <w:r>
                    <w:rPr>
                      <w:rFonts w:hint="eastAsia"/>
                      <w:lang w:val="en-US" w:eastAsia="zh-CN"/>
                    </w:rPr>
                    <w:t>支持药师进行十八反十九畏相互作用的审查；</w:t>
                  </w:r>
                </w:p>
                <w:p>
                  <w:pPr>
                    <w:numPr>
                      <w:ilvl w:val="0"/>
                      <w:numId w:val="28"/>
                    </w:numPr>
                    <w:spacing w:line="360" w:lineRule="auto"/>
                    <w:ind w:left="425" w:hanging="425" w:firstLineChars="0"/>
                    <w:rPr>
                      <w:rFonts w:hint="eastAsia"/>
                      <w:lang w:val="en-US" w:eastAsia="zh-CN"/>
                    </w:rPr>
                  </w:pPr>
                  <w:r>
                    <w:rPr>
                      <w:rFonts w:hint="eastAsia"/>
                      <w:lang w:val="en-US" w:eastAsia="zh-CN"/>
                    </w:rPr>
                    <w:t>支持药师进行饮片用法用量的审查，包含不同的给药途径或年龄段剂量，单张处方累计用量不超过240g，饮片数量不超过18种等。</w:t>
                  </w:r>
                </w:p>
                <w:p>
                  <w:pPr>
                    <w:numPr>
                      <w:ilvl w:val="0"/>
                      <w:numId w:val="28"/>
                    </w:numPr>
                    <w:spacing w:line="360" w:lineRule="auto"/>
                    <w:ind w:left="425" w:hanging="425" w:firstLineChars="0"/>
                    <w:rPr>
                      <w:rFonts w:hint="eastAsia"/>
                      <w:lang w:val="en-US" w:eastAsia="zh-CN"/>
                    </w:rPr>
                  </w:pPr>
                  <w:r>
                    <w:rPr>
                      <w:rFonts w:hint="eastAsia"/>
                      <w:lang w:val="en-US" w:eastAsia="zh-CN"/>
                    </w:rPr>
                    <w:t>支持药师进行特殊人群禁忌的审查，包含孕产哺乳用药、老年人和儿童用药和肝肾功能不全用药人群。</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医院个性化审核</w:t>
                  </w:r>
                </w:p>
                <w:p>
                  <w:pPr>
                    <w:numPr>
                      <w:ilvl w:val="0"/>
                      <w:numId w:val="29"/>
                    </w:numPr>
                    <w:spacing w:line="360" w:lineRule="auto"/>
                    <w:ind w:left="425" w:hanging="425" w:firstLineChars="0"/>
                    <w:rPr>
                      <w:rFonts w:hint="eastAsia"/>
                      <w:lang w:val="en-US" w:eastAsia="zh-CN"/>
                    </w:rPr>
                  </w:pPr>
                  <w:r>
                    <w:rPr>
                      <w:rFonts w:hint="eastAsia"/>
                      <w:lang w:val="en-US" w:eastAsia="zh-CN"/>
                    </w:rPr>
                    <w:t>可以根据医院处方集和医院药事管理规定进行个性化审核内容调整，支持诊断与用药不符，给药途径，用法用量，用药疗程，配伍禁忌，相互作用，药品不良反应，肝肾等检验指标，重复用药的个性化审核；</w:t>
                  </w:r>
                </w:p>
                <w:p>
                  <w:pPr>
                    <w:numPr>
                      <w:ilvl w:val="0"/>
                      <w:numId w:val="29"/>
                    </w:numPr>
                    <w:spacing w:line="360" w:lineRule="auto"/>
                    <w:ind w:left="425" w:hanging="425" w:firstLineChars="0"/>
                    <w:rPr>
                      <w:rFonts w:hint="eastAsia"/>
                      <w:lang w:val="en-US" w:eastAsia="zh-CN"/>
                    </w:rPr>
                  </w:pPr>
                  <w:r>
                    <w:rPr>
                      <w:rFonts w:hint="eastAsia"/>
                      <w:lang w:val="en-US" w:eastAsia="zh-CN"/>
                    </w:rPr>
                    <w:t>支持对中成药和中药饮片处方的中医诊断（中医疾病、中医证候）的个性化审核；</w:t>
                  </w:r>
                </w:p>
                <w:p>
                  <w:pPr>
                    <w:numPr>
                      <w:ilvl w:val="0"/>
                      <w:numId w:val="29"/>
                    </w:numPr>
                    <w:spacing w:line="360" w:lineRule="auto"/>
                    <w:ind w:left="425" w:hanging="425" w:firstLineChars="0"/>
                    <w:rPr>
                      <w:rFonts w:hint="eastAsia"/>
                      <w:lang w:val="en-US" w:eastAsia="zh-CN"/>
                    </w:rPr>
                  </w:pPr>
                  <w:r>
                    <w:rPr>
                      <w:rFonts w:hint="eastAsia"/>
                      <w:lang w:val="en-US" w:eastAsia="zh-CN"/>
                    </w:rPr>
                    <w:t>支持门诊药房对拆零药品，不可拆分药品进行个性化审核。</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default" w:ascii="宋体" w:hAnsi="宋体" w:eastAsia="宋体" w:cs="宋体"/>
                      <w:sz w:val="36"/>
                      <w:szCs w:val="36"/>
                      <w:lang w:val="en-US" w:eastAsia="zh-CN"/>
                    </w:rPr>
                    <w:t>审方室配置</w:t>
                  </w:r>
                  <w:r>
                    <w:rPr>
                      <w:rFonts w:hint="eastAsia" w:ascii="宋体" w:hAnsi="宋体" w:eastAsia="宋体" w:cs="宋体"/>
                      <w:sz w:val="36"/>
                      <w:szCs w:val="36"/>
                      <w:lang w:val="en-US" w:eastAsia="zh-CN"/>
                    </w:rPr>
                    <w:tab/>
                  </w:r>
                </w:p>
                <w:p>
                  <w:pPr>
                    <w:numPr>
                      <w:ilvl w:val="0"/>
                      <w:numId w:val="30"/>
                    </w:numPr>
                    <w:spacing w:line="360" w:lineRule="auto"/>
                    <w:ind w:left="425" w:hanging="425" w:firstLineChars="0"/>
                    <w:rPr>
                      <w:rFonts w:hint="eastAsia"/>
                      <w:lang w:val="en-US" w:eastAsia="zh-CN"/>
                    </w:rPr>
                  </w:pPr>
                  <w:r>
                    <w:rPr>
                      <w:rFonts w:hint="eastAsia"/>
                      <w:lang w:val="en-US" w:eastAsia="zh-CN"/>
                    </w:rPr>
                    <w:t xml:space="preserve">系统可主动分配任务给药师，任务来临时可用弹框或声音（不同药师可以选择不同的提示音）提醒药师，点击弹框后即可跳转至审方页面。 </w:t>
                  </w:r>
                </w:p>
                <w:p>
                  <w:pPr>
                    <w:numPr>
                      <w:ilvl w:val="0"/>
                      <w:numId w:val="30"/>
                    </w:numPr>
                    <w:spacing w:line="360" w:lineRule="auto"/>
                    <w:ind w:left="425" w:hanging="425" w:firstLineChars="0"/>
                    <w:rPr>
                      <w:rFonts w:hint="eastAsia"/>
                      <w:lang w:val="en-US" w:eastAsia="zh-CN"/>
                    </w:rPr>
                  </w:pPr>
                  <w:r>
                    <w:rPr>
                      <w:rFonts w:hint="eastAsia"/>
                      <w:lang w:val="en-US" w:eastAsia="zh-CN"/>
                    </w:rPr>
                    <w:t>总药师可以对全院审方工作进行管理，并可以作为监督者旁观审方药师的工作。</w:t>
                  </w:r>
                </w:p>
                <w:p>
                  <w:pPr>
                    <w:numPr>
                      <w:ilvl w:val="0"/>
                      <w:numId w:val="30"/>
                    </w:numPr>
                    <w:spacing w:line="360" w:lineRule="auto"/>
                    <w:ind w:left="425" w:hanging="425" w:firstLineChars="0"/>
                    <w:rPr>
                      <w:rFonts w:hint="eastAsia"/>
                      <w:lang w:val="en-US" w:eastAsia="zh-CN"/>
                    </w:rPr>
                  </w:pPr>
                  <w:r>
                    <w:rPr>
                      <w:rFonts w:hint="eastAsia"/>
                      <w:lang w:val="en-US" w:eastAsia="zh-CN"/>
                    </w:rPr>
                    <w:t xml:space="preserve">药师审查时，可在审查界面一体化查看当前处方（医嘱）历史干预记录，如医生操作、用药理由等。 </w:t>
                  </w:r>
                </w:p>
                <w:p>
                  <w:pPr>
                    <w:numPr>
                      <w:ilvl w:val="0"/>
                      <w:numId w:val="30"/>
                    </w:numPr>
                    <w:spacing w:line="360" w:lineRule="auto"/>
                    <w:ind w:left="425" w:hanging="425" w:firstLineChars="0"/>
                    <w:rPr>
                      <w:rFonts w:hint="eastAsia"/>
                      <w:lang w:val="en-US" w:eastAsia="zh-CN"/>
                    </w:rPr>
                  </w:pPr>
                  <w:r>
                    <w:rPr>
                      <w:rFonts w:hint="eastAsia"/>
                      <w:lang w:val="en-US" w:eastAsia="zh-CN"/>
                    </w:rPr>
                    <w:t xml:space="preserve">药师审查时可查看当前处方（医嘱）历史修改版本信息。 </w:t>
                  </w:r>
                </w:p>
                <w:p>
                  <w:pPr>
                    <w:numPr>
                      <w:ilvl w:val="0"/>
                      <w:numId w:val="30"/>
                    </w:numPr>
                    <w:spacing w:line="360" w:lineRule="auto"/>
                    <w:ind w:left="425" w:hanging="425" w:firstLineChars="0"/>
                    <w:rPr>
                      <w:rFonts w:hint="eastAsia"/>
                      <w:lang w:val="en-US" w:eastAsia="zh-CN"/>
                    </w:rPr>
                  </w:pPr>
                  <w:r>
                    <w:rPr>
                      <w:rFonts w:hint="eastAsia"/>
                      <w:lang w:val="en-US" w:eastAsia="zh-CN"/>
                    </w:rPr>
                    <w:t>药师可选择审核意见中的重点文字变色处理后发给医生。药师还可预设常用问题模板。</w:t>
                  </w:r>
                </w:p>
                <w:p>
                  <w:pPr>
                    <w:numPr>
                      <w:ilvl w:val="0"/>
                      <w:numId w:val="30"/>
                    </w:numPr>
                    <w:spacing w:line="360" w:lineRule="auto"/>
                    <w:ind w:left="425" w:hanging="425" w:firstLineChars="0"/>
                    <w:rPr>
                      <w:rFonts w:hint="eastAsia"/>
                      <w:lang w:val="en-US" w:eastAsia="zh-CN"/>
                    </w:rPr>
                  </w:pPr>
                  <w:r>
                    <w:rPr>
                      <w:rFonts w:hint="eastAsia"/>
                      <w:lang w:val="en-US" w:eastAsia="zh-CN"/>
                    </w:rPr>
                    <w:t>支持配置审方室电话，当触发绝对禁止开具的处方，必要时医生可紧急联系审方室沟通。</w:t>
                  </w:r>
                </w:p>
                <w:p>
                  <w:pPr>
                    <w:numPr>
                      <w:ilvl w:val="0"/>
                      <w:numId w:val="30"/>
                    </w:numPr>
                    <w:spacing w:line="360" w:lineRule="auto"/>
                    <w:ind w:left="425" w:hanging="425" w:firstLineChars="0"/>
                    <w:rPr>
                      <w:rFonts w:hint="eastAsia"/>
                      <w:lang w:val="en-US" w:eastAsia="zh-CN"/>
                    </w:rPr>
                  </w:pPr>
                  <w:r>
                    <w:rPr>
                      <w:rFonts w:hint="eastAsia"/>
                      <w:lang w:val="en-US" w:eastAsia="zh-CN"/>
                    </w:rPr>
                    <w:t>支持配置重点关注处方，在关注范围的处方会提示医生发送审方。</w:t>
                  </w:r>
                </w:p>
                <w:p>
                  <w:pPr>
                    <w:numPr>
                      <w:ilvl w:val="0"/>
                      <w:numId w:val="30"/>
                    </w:numPr>
                    <w:spacing w:line="360" w:lineRule="auto"/>
                    <w:ind w:left="425" w:hanging="425" w:firstLineChars="0"/>
                    <w:rPr>
                      <w:rFonts w:hint="eastAsia"/>
                      <w:lang w:val="en-US" w:eastAsia="zh-CN"/>
                    </w:rPr>
                  </w:pPr>
                  <w:r>
                    <w:rPr>
                      <w:rFonts w:hint="eastAsia"/>
                      <w:lang w:val="en-US" w:eastAsia="zh-CN"/>
                    </w:rPr>
                    <w:t>支持配置加急任务。在加急任务范围的医生可以选择加急发送药师审核，药师第一时间可以审核。</w:t>
                  </w:r>
                </w:p>
                <w:p>
                  <w:pPr>
                    <w:numPr>
                      <w:ilvl w:val="0"/>
                      <w:numId w:val="30"/>
                    </w:numPr>
                    <w:spacing w:line="360" w:lineRule="auto"/>
                    <w:ind w:left="425" w:hanging="425" w:firstLineChars="0"/>
                    <w:rPr>
                      <w:rFonts w:hint="eastAsia"/>
                      <w:lang w:val="en-US" w:eastAsia="zh-CN"/>
                    </w:rPr>
                  </w:pPr>
                  <w:r>
                    <w:rPr>
                      <w:rFonts w:hint="eastAsia"/>
                      <w:lang w:val="en-US" w:eastAsia="zh-CN"/>
                    </w:rPr>
                    <w:t xml:space="preserve">药师可以对审方室参数根据工作习惯进行调整。 </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审方流程</w:t>
                  </w:r>
                  <w:r>
                    <w:rPr>
                      <w:rFonts w:hint="eastAsia" w:ascii="宋体" w:hAnsi="宋体" w:eastAsia="宋体" w:cs="宋体"/>
                      <w:sz w:val="36"/>
                      <w:szCs w:val="36"/>
                      <w:lang w:val="en-US" w:eastAsia="zh-CN"/>
                    </w:rPr>
                    <w:tab/>
                  </w:r>
                </w:p>
                <w:p>
                  <w:pPr>
                    <w:numPr>
                      <w:ilvl w:val="0"/>
                      <w:numId w:val="31"/>
                    </w:numPr>
                    <w:spacing w:line="360" w:lineRule="auto"/>
                    <w:ind w:left="425" w:hanging="425" w:firstLineChars="0"/>
                    <w:rPr>
                      <w:rFonts w:hint="eastAsia"/>
                      <w:lang w:val="en-US" w:eastAsia="zh-CN"/>
                    </w:rPr>
                  </w:pPr>
                  <w:r>
                    <w:rPr>
                      <w:rFonts w:hint="eastAsia"/>
                      <w:lang w:val="en-US" w:eastAsia="zh-CN"/>
                    </w:rPr>
                    <w:t>医生开具处方/医嘱后系统马上进行审核，弹框后会出现直接拦截或直接返回修改或直接双签或发送审方，发送审方后，药师审方通过后，处方/医嘱可以进行打印，如果药师审核必须修改/必须等待，则医生需要相应修改或等待药师审核，如果药师审核为“药师同意双签”，医生需要进行双签名操作后，处方/医嘱可以进行打印；如果药师未能够在规定的审核时间内审核，医生可以继续保存处方，处方/医嘱可以进行打印。</w:t>
                  </w:r>
                </w:p>
                <w:p>
                  <w:pPr>
                    <w:numPr>
                      <w:ilvl w:val="0"/>
                      <w:numId w:val="31"/>
                    </w:numPr>
                    <w:spacing w:line="360" w:lineRule="auto"/>
                    <w:ind w:left="425" w:hanging="425" w:firstLineChars="0"/>
                    <w:rPr>
                      <w:rFonts w:hint="eastAsia"/>
                      <w:lang w:val="en-US" w:eastAsia="zh-CN"/>
                    </w:rPr>
                  </w:pPr>
                  <w:r>
                    <w:rPr>
                      <w:rFonts w:hint="eastAsia"/>
                      <w:lang w:val="en-US" w:eastAsia="zh-CN"/>
                    </w:rPr>
                    <w:t>药师不在线时，AI药师继续进行机器审核，按照不在线的条件，需要医生相应的双签名或返回修改，药师在线后可以对“应审未审”的处方/医嘱进行回顾性审方，审核结果通过消息发送给医生。</w:t>
                  </w:r>
                  <w:r>
                    <w:rPr>
                      <w:rFonts w:hint="eastAsia" w:asciiTheme="minorEastAsia" w:hAnsiTheme="minorEastAsia" w:eastAsiaTheme="minorEastAsia" w:cstheme="minorEastAsia"/>
                      <w:color w:val="auto"/>
                      <w:kern w:val="0"/>
                      <w:szCs w:val="21"/>
                      <w:highlight w:val="none"/>
                    </w:rPr>
                    <w:t>【需要提供真实产品演示】</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审方指标图表</w:t>
                  </w:r>
                  <w:r>
                    <w:rPr>
                      <w:rFonts w:hint="eastAsia" w:ascii="宋体" w:hAnsi="宋体" w:eastAsia="宋体" w:cs="宋体"/>
                      <w:sz w:val="36"/>
                      <w:szCs w:val="36"/>
                      <w:lang w:val="en-US" w:eastAsia="zh-CN"/>
                    </w:rPr>
                    <w:tab/>
                  </w:r>
                </w:p>
                <w:p>
                  <w:pPr>
                    <w:numPr>
                      <w:ilvl w:val="0"/>
                      <w:numId w:val="32"/>
                    </w:numPr>
                    <w:spacing w:line="360" w:lineRule="auto"/>
                    <w:ind w:left="425" w:hanging="425" w:firstLineChars="0"/>
                    <w:rPr>
                      <w:rFonts w:hint="eastAsia"/>
                      <w:lang w:val="en-US" w:eastAsia="zh-CN"/>
                    </w:rPr>
                  </w:pPr>
                  <w:r>
                    <w:rPr>
                      <w:rFonts w:hint="eastAsia"/>
                      <w:lang w:val="en-US" w:eastAsia="zh-CN"/>
                    </w:rPr>
                    <w:t>系统应支持将重要审方指标通过图表在用户大屏上展示。</w:t>
                  </w:r>
                </w:p>
                <w:p>
                  <w:pPr>
                    <w:numPr>
                      <w:ilvl w:val="0"/>
                      <w:numId w:val="32"/>
                    </w:numPr>
                    <w:spacing w:line="360" w:lineRule="auto"/>
                    <w:ind w:left="425" w:hanging="425" w:firstLineChars="0"/>
                    <w:rPr>
                      <w:rFonts w:hint="eastAsia"/>
                      <w:lang w:val="en-US" w:eastAsia="zh-CN"/>
                    </w:rPr>
                  </w:pPr>
                  <w:r>
                    <w:rPr>
                      <w:rFonts w:hint="eastAsia"/>
                      <w:lang w:val="en-US" w:eastAsia="zh-CN"/>
                    </w:rPr>
                    <w:t>支持药师实时监测全院、门诊、急诊、住院等处方审核情况，包括总审核次数、待审核数、系统审核次数、人工审核次数。</w:t>
                  </w:r>
                </w:p>
                <w:p>
                  <w:pPr>
                    <w:numPr>
                      <w:ilvl w:val="0"/>
                      <w:numId w:val="32"/>
                    </w:numPr>
                    <w:spacing w:line="360" w:lineRule="auto"/>
                    <w:ind w:left="425" w:hanging="425" w:firstLineChars="0"/>
                    <w:rPr>
                      <w:rFonts w:hint="eastAsia"/>
                      <w:lang w:val="en-US" w:eastAsia="zh-CN"/>
                    </w:rPr>
                  </w:pPr>
                  <w:r>
                    <w:rPr>
                      <w:rFonts w:hint="eastAsia"/>
                      <w:lang w:val="en-US" w:eastAsia="zh-CN"/>
                    </w:rPr>
                    <w:t>支持药师实时监测今日审方情况，包括系统审核通过、系统警示未送审（返回修改、继续提交、医生主动双签）、人工审核（通过、必须修改、药师同意双签）、超时审核。</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审方信息自定义显示</w:t>
                  </w:r>
                  <w:r>
                    <w:rPr>
                      <w:rFonts w:hint="eastAsia" w:ascii="宋体" w:hAnsi="宋体" w:eastAsia="宋体" w:cs="宋体"/>
                      <w:sz w:val="36"/>
                      <w:szCs w:val="36"/>
                      <w:lang w:val="en-US" w:eastAsia="zh-CN"/>
                    </w:rPr>
                    <w:tab/>
                  </w:r>
                </w:p>
                <w:p>
                  <w:pPr>
                    <w:numPr>
                      <w:ilvl w:val="-1"/>
                      <w:numId w:val="0"/>
                    </w:numPr>
                    <w:spacing w:line="360" w:lineRule="auto"/>
                    <w:ind w:left="0" w:firstLine="440" w:firstLineChars="200"/>
                    <w:rPr>
                      <w:rFonts w:hint="eastAsia"/>
                      <w:lang w:val="en-US" w:eastAsia="zh-CN"/>
                    </w:rPr>
                  </w:pPr>
                  <w:r>
                    <w:rPr>
                      <w:rFonts w:hint="eastAsia"/>
                      <w:lang w:val="en-US" w:eastAsia="zh-CN"/>
                    </w:rPr>
                    <w:t>系统支持药师对患者、处方和检查检验信息进行自定义快捷设置，特别是空值不在显示。药师可以按照自己的习惯，设置信息显示的排序。</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双签名干预</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对于系统审核未通过的处方，支持开放医生双签名通道，同时提供多种双签名应用场景。所有双签名通过的处方有地方保存相关记录，方便药师进行回顾性审核。</w:t>
                  </w:r>
                </w:p>
                <w:p>
                  <w:pPr>
                    <w:spacing w:line="360" w:lineRule="auto"/>
                    <w:rPr>
                      <w:rFonts w:hint="eastAsia"/>
                      <w:lang w:val="en-US" w:eastAsia="zh-CN"/>
                    </w:rPr>
                  </w:pPr>
                  <w:r>
                    <w:rPr>
                      <w:rFonts w:hint="eastAsia"/>
                      <w:lang w:val="en-US" w:eastAsia="zh-CN"/>
                    </w:rPr>
                    <w:t>1、允许医生主动双签的场景：</w:t>
                  </w:r>
                </w:p>
                <w:p>
                  <w:pPr>
                    <w:spacing w:line="360" w:lineRule="auto"/>
                    <w:rPr>
                      <w:rFonts w:hint="eastAsia"/>
                      <w:lang w:val="en-US" w:eastAsia="zh-CN"/>
                    </w:rPr>
                  </w:pPr>
                  <w:r>
                    <w:rPr>
                      <w:rFonts w:hint="eastAsia"/>
                      <w:lang w:val="en-US" w:eastAsia="zh-CN"/>
                    </w:rPr>
                    <w:t>(1)弹框就开启双签。</w:t>
                  </w:r>
                </w:p>
                <w:p>
                  <w:pPr>
                    <w:spacing w:line="360" w:lineRule="auto"/>
                    <w:rPr>
                      <w:rFonts w:hint="eastAsia"/>
                      <w:lang w:val="en-US" w:eastAsia="zh-CN"/>
                    </w:rPr>
                  </w:pPr>
                  <w:r>
                    <w:rPr>
                      <w:rFonts w:hint="eastAsia"/>
                      <w:lang w:val="en-US" w:eastAsia="zh-CN"/>
                    </w:rPr>
                    <w:t>(2)需要发送审方才开启双签。</w:t>
                  </w:r>
                </w:p>
                <w:p>
                  <w:pPr>
                    <w:spacing w:line="360" w:lineRule="auto"/>
                    <w:rPr>
                      <w:rFonts w:hint="eastAsia"/>
                      <w:lang w:val="en-US" w:eastAsia="zh-CN"/>
                    </w:rPr>
                  </w:pPr>
                  <w:r>
                    <w:rPr>
                      <w:rFonts w:hint="eastAsia"/>
                      <w:lang w:val="en-US" w:eastAsia="zh-CN"/>
                    </w:rPr>
                    <w:t>(3)触发的每条警示信息都包含双签才开启。</w:t>
                  </w:r>
                </w:p>
                <w:p>
                  <w:pPr>
                    <w:spacing w:line="360" w:lineRule="auto"/>
                    <w:rPr>
                      <w:rFonts w:hint="eastAsia"/>
                      <w:lang w:val="en-US" w:eastAsia="zh-CN"/>
                    </w:rPr>
                  </w:pPr>
                  <w:r>
                    <w:rPr>
                      <w:rFonts w:hint="eastAsia"/>
                      <w:lang w:val="en-US" w:eastAsia="zh-CN"/>
                    </w:rPr>
                    <w:t>(4)需要发送审方并且触发的每条警示信息都包含双签才开启。</w:t>
                  </w:r>
                </w:p>
                <w:p>
                  <w:pPr>
                    <w:spacing w:line="360" w:lineRule="auto"/>
                    <w:rPr>
                      <w:rFonts w:hint="eastAsia"/>
                      <w:lang w:val="en-US" w:eastAsia="zh-CN"/>
                    </w:rPr>
                  </w:pPr>
                  <w:r>
                    <w:rPr>
                      <w:rFonts w:hint="eastAsia"/>
                      <w:lang w:val="en-US" w:eastAsia="zh-CN"/>
                    </w:rPr>
                    <w:t>(5)当弹框触发的警示信息未满足全部允许医生主动双签时，则判断药师是否在线，药师在线时不开启双签，药师不在线时，开启双签。</w:t>
                  </w:r>
                </w:p>
                <w:p>
                  <w:pPr>
                    <w:spacing w:line="360" w:lineRule="auto"/>
                    <w:rPr>
                      <w:rFonts w:hint="eastAsia"/>
                      <w:lang w:val="en-US" w:eastAsia="zh-CN"/>
                    </w:rPr>
                  </w:pPr>
                  <w:r>
                    <w:rPr>
                      <w:rFonts w:hint="eastAsia"/>
                      <w:lang w:val="en-US" w:eastAsia="zh-CN"/>
                    </w:rPr>
                    <w:t>2、在药师不在线/药师在线时，允许医生主动双签的对象：</w:t>
                  </w:r>
                </w:p>
                <w:p>
                  <w:pPr>
                    <w:spacing w:line="360" w:lineRule="auto"/>
                    <w:rPr>
                      <w:rFonts w:hint="eastAsia"/>
                      <w:lang w:val="en-US" w:eastAsia="zh-CN"/>
                    </w:rPr>
                  </w:pPr>
                  <w:r>
                    <w:rPr>
                      <w:rFonts w:hint="eastAsia"/>
                      <w:lang w:val="en-US" w:eastAsia="zh-CN"/>
                    </w:rPr>
                    <w:t>(1)支持配置某些药品属性、某些警示等级、某些警示类型、某些科室、某些医生等允许主动双签名。例如，当药师不在线时，触发5级以上警示，则要求医生双签名保存。</w:t>
                  </w:r>
                </w:p>
                <w:p>
                  <w:pPr>
                    <w:spacing w:line="360" w:lineRule="auto"/>
                    <w:rPr>
                      <w:rFonts w:hint="eastAsia"/>
                      <w:lang w:val="en-US" w:eastAsia="zh-CN"/>
                    </w:rPr>
                  </w:pPr>
                  <w:r>
                    <w:rPr>
                      <w:rFonts w:hint="eastAsia"/>
                      <w:lang w:val="en-US" w:eastAsia="zh-CN"/>
                    </w:rPr>
                    <w:t>(2)支持配置某些药品属性、某些警示等级、某些警示类型、某些科室、某些医生等不允许主动双签名。例如：药师在线时，住院抗菌药物所触发的警示都不允许双签，必须发送审方。</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审方追溯</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 xml:space="preserve">审方时可以按照处方号进行追溯，查看每次医生修改和药师审核后的结果；若一张处方（医嘱）通过前有多个修改版本，系统可以标记每个版本的处置状态。 </w:t>
                  </w:r>
                  <w:r>
                    <w:rPr>
                      <w:rFonts w:hint="eastAsia" w:asciiTheme="minorEastAsia" w:hAnsiTheme="minorEastAsia" w:eastAsiaTheme="minorEastAsia" w:cstheme="minorEastAsia"/>
                      <w:color w:val="auto"/>
                      <w:kern w:val="0"/>
                      <w:szCs w:val="21"/>
                      <w:highlight w:val="none"/>
                    </w:rPr>
                    <w:t>【需要提供真实产品演示】</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审方知识库引用</w:t>
                  </w:r>
                  <w:r>
                    <w:rPr>
                      <w:rFonts w:hint="eastAsia" w:ascii="宋体" w:hAnsi="宋体" w:eastAsia="宋体" w:cs="宋体"/>
                      <w:sz w:val="36"/>
                      <w:szCs w:val="36"/>
                      <w:lang w:val="en-US" w:eastAsia="zh-CN"/>
                    </w:rPr>
                    <w:tab/>
                  </w:r>
                </w:p>
                <w:p>
                  <w:pPr>
                    <w:numPr>
                      <w:ilvl w:val="0"/>
                      <w:numId w:val="33"/>
                    </w:numPr>
                    <w:spacing w:line="360" w:lineRule="auto"/>
                    <w:ind w:left="425" w:hanging="425" w:firstLineChars="0"/>
                    <w:rPr>
                      <w:rFonts w:hint="eastAsia"/>
                      <w:lang w:val="en-US" w:eastAsia="zh-CN"/>
                    </w:rPr>
                  </w:pPr>
                  <w:r>
                    <w:rPr>
                      <w:rFonts w:hint="eastAsia"/>
                      <w:lang w:val="en-US" w:eastAsia="zh-CN"/>
                    </w:rPr>
                    <w:t>系统支持药师查看药学综述信息，作为审方时的参考。</w:t>
                  </w:r>
                </w:p>
                <w:p>
                  <w:pPr>
                    <w:numPr>
                      <w:ilvl w:val="0"/>
                      <w:numId w:val="33"/>
                    </w:numPr>
                    <w:spacing w:line="360" w:lineRule="auto"/>
                    <w:ind w:left="425" w:hanging="425" w:firstLineChars="0"/>
                    <w:rPr>
                      <w:rFonts w:hint="eastAsia"/>
                      <w:lang w:val="en-US" w:eastAsia="zh-CN"/>
                    </w:rPr>
                  </w:pPr>
                  <w:r>
                    <w:rPr>
                      <w:rFonts w:hint="eastAsia"/>
                      <w:lang w:val="en-US" w:eastAsia="zh-CN"/>
                    </w:rPr>
                    <w:t>系统支持根据医生提交至药师处的中药处方智能检索近似经典方剂供药师参考。</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自定义规则图工具</w:t>
                  </w:r>
                  <w:r>
                    <w:rPr>
                      <w:rFonts w:hint="eastAsia" w:ascii="宋体" w:hAnsi="宋体" w:eastAsia="宋体" w:cs="宋体"/>
                      <w:sz w:val="36"/>
                      <w:szCs w:val="36"/>
                      <w:lang w:val="en-US" w:eastAsia="zh-CN"/>
                    </w:rPr>
                    <w:tab/>
                  </w:r>
                </w:p>
                <w:p>
                  <w:pPr>
                    <w:numPr>
                      <w:ilvl w:val="0"/>
                      <w:numId w:val="34"/>
                    </w:numPr>
                    <w:spacing w:line="360" w:lineRule="auto"/>
                    <w:ind w:left="425" w:hanging="425" w:firstLineChars="0"/>
                    <w:rPr>
                      <w:rFonts w:hint="eastAsia"/>
                      <w:lang w:val="en-US" w:eastAsia="zh-CN"/>
                    </w:rPr>
                  </w:pPr>
                  <w:r>
                    <w:rPr>
                      <w:rFonts w:hint="eastAsia"/>
                      <w:lang w:val="en-US" w:eastAsia="zh-CN"/>
                    </w:rPr>
                    <w:t>系统提供图形化维护界面，无需编程知识，通过思维导图工具实现药品管控，即时保存生效。提供的工具为规则设计器WEB版本，该版本采用分布式计算为核心，可以根据服务器资源配置审核引擎。</w:t>
                  </w:r>
                </w:p>
                <w:p>
                  <w:pPr>
                    <w:numPr>
                      <w:ilvl w:val="0"/>
                      <w:numId w:val="34"/>
                    </w:numPr>
                    <w:spacing w:line="360" w:lineRule="auto"/>
                    <w:ind w:left="425" w:hanging="425" w:firstLineChars="0"/>
                    <w:rPr>
                      <w:rFonts w:hint="eastAsia"/>
                      <w:lang w:val="en-US" w:eastAsia="zh-CN"/>
                    </w:rPr>
                  </w:pPr>
                  <w:r>
                    <w:rPr>
                      <w:rFonts w:hint="eastAsia"/>
                      <w:lang w:val="en-US" w:eastAsia="zh-CN"/>
                    </w:rPr>
                    <w:t>自定义规则设计图采用规则审核引擎采用分布式技术框架，并最大限度地使用缓存机制和数据读写分离技术，确保规则审核性能得到最大的提升。</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审方任务中心</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系统采用主动式设置工作消息提示，指引药师及时完成药事管理中的各项工作，支撑系统高效准确运转，比如回顾昨天的审方情况，及时处理医生不再提醒的用药依据，查看医生发来的沟通消息，审核未进行审核就延时通过的处方（医嘱），及时添加新药比对等工作，让药师更轻松，医生更放心的开具处方，让合理用药更加智能。</w:t>
                  </w:r>
                  <w:r>
                    <w:rPr>
                      <w:rFonts w:hint="eastAsia" w:asciiTheme="minorEastAsia" w:hAnsiTheme="minorEastAsia" w:eastAsiaTheme="minorEastAsia" w:cstheme="minorEastAsia"/>
                      <w:color w:val="auto"/>
                      <w:kern w:val="0"/>
                      <w:szCs w:val="21"/>
                      <w:highlight w:val="none"/>
                    </w:rPr>
                    <w:t>【需要提供真实产品演示】</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规则列表管理</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以医院药品目录为主轴，分析医院规则和说明书的动态变化，通过这个变化可以直观地观察医院药品规则的数量，及时发现需要完善规则的药品</w:t>
                  </w:r>
                  <w:r>
                    <w:rPr>
                      <w:rFonts w:hint="eastAsia" w:asciiTheme="minorEastAsia" w:hAnsiTheme="minorEastAsia" w:eastAsiaTheme="minorEastAsia" w:cstheme="minorEastAsia"/>
                      <w:color w:val="auto"/>
                      <w:kern w:val="0"/>
                      <w:szCs w:val="21"/>
                      <w:highlight w:val="none"/>
                    </w:rPr>
                    <w:t>【需要提供真实产品演示】</w:t>
                  </w:r>
                  <w:r>
                    <w:rPr>
                      <w:rFonts w:hint="eastAsia"/>
                      <w:lang w:val="en-US" w:eastAsia="zh-CN"/>
                    </w:rPr>
                    <w:t>。</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规则统计分析</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为了完善规则，以医院药品为统计维度，以处方审核规范为统计类型，对各个药品的规则数量进行统计，以便可以查漏补缺。</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规则升级</w:t>
                  </w:r>
                  <w:r>
                    <w:rPr>
                      <w:rFonts w:hint="eastAsia" w:ascii="宋体" w:hAnsi="宋体" w:eastAsia="宋体" w:cs="宋体"/>
                      <w:sz w:val="36"/>
                      <w:szCs w:val="36"/>
                      <w:lang w:val="en-US" w:eastAsia="zh-CN"/>
                    </w:rPr>
                    <w:tab/>
                  </w:r>
                </w:p>
                <w:p>
                  <w:pPr>
                    <w:spacing w:line="360" w:lineRule="auto"/>
                    <w:rPr>
                      <w:rFonts w:hint="eastAsia"/>
                      <w:lang w:val="en-US" w:eastAsia="zh-CN"/>
                    </w:rPr>
                  </w:pPr>
                  <w:r>
                    <w:rPr>
                      <w:rFonts w:hint="eastAsia"/>
                      <w:lang w:val="en-US" w:eastAsia="zh-CN"/>
                    </w:rPr>
                    <w:t>提供每次规则库更新功能，可通过比对当前规则与更新规则，有选择性地对当前规则进行更新。</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医生参与规则</w:t>
                  </w:r>
                  <w:r>
                    <w:rPr>
                      <w:rFonts w:hint="eastAsia" w:ascii="宋体" w:hAnsi="宋体" w:eastAsia="宋体" w:cs="宋体"/>
                      <w:sz w:val="36"/>
                      <w:szCs w:val="36"/>
                      <w:lang w:val="en-US" w:eastAsia="zh-CN"/>
                    </w:rPr>
                    <w:tab/>
                  </w:r>
                </w:p>
                <w:p>
                  <w:pPr>
                    <w:numPr>
                      <w:ilvl w:val="0"/>
                      <w:numId w:val="35"/>
                    </w:numPr>
                    <w:spacing w:line="360" w:lineRule="auto"/>
                    <w:ind w:left="425" w:hanging="425" w:firstLineChars="0"/>
                    <w:rPr>
                      <w:rFonts w:hint="eastAsia"/>
                      <w:lang w:val="en-US" w:eastAsia="zh-CN"/>
                    </w:rPr>
                  </w:pPr>
                  <w:r>
                    <w:rPr>
                      <w:rFonts w:hint="eastAsia"/>
                      <w:lang w:val="en-US" w:eastAsia="zh-CN"/>
                    </w:rPr>
                    <w:t>医生可以在开具处方/医嘱时参与规则的制定，提供用药理由，由药师进行审核，决定是否进行规则的调整。</w:t>
                  </w:r>
                </w:p>
                <w:p>
                  <w:pPr>
                    <w:numPr>
                      <w:ilvl w:val="0"/>
                      <w:numId w:val="35"/>
                    </w:numPr>
                    <w:spacing w:line="360" w:lineRule="auto"/>
                    <w:ind w:left="425" w:hanging="425" w:firstLineChars="0"/>
                    <w:rPr>
                      <w:rFonts w:hint="eastAsia"/>
                      <w:lang w:val="en-US" w:eastAsia="zh-CN"/>
                    </w:rPr>
                  </w:pPr>
                  <w:r>
                    <w:rPr>
                      <w:rFonts w:hint="eastAsia"/>
                      <w:lang w:val="en-US" w:eastAsia="zh-CN"/>
                    </w:rPr>
                    <w:t>药师可以设置豁免某个规则的科室、医生无须继续进行审核。</w:t>
                  </w:r>
                </w:p>
                <w:p>
                  <w:pPr>
                    <w:numPr>
                      <w:ilvl w:val="0"/>
                      <w:numId w:val="35"/>
                    </w:numPr>
                    <w:spacing w:line="360" w:lineRule="auto"/>
                    <w:ind w:left="425" w:hanging="425" w:firstLineChars="0"/>
                    <w:rPr>
                      <w:rFonts w:hint="eastAsia"/>
                      <w:lang w:val="en-US" w:eastAsia="zh-CN"/>
                    </w:rPr>
                  </w:pPr>
                  <w:r>
                    <w:rPr>
                      <w:rFonts w:hint="eastAsia"/>
                      <w:lang w:val="en-US" w:eastAsia="zh-CN"/>
                    </w:rPr>
                    <w:t>药师可通过“医生双签名明细”对医生提交的处方/医嘱进行审核。</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处方智能点评</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门诊处方点评</w:t>
                  </w:r>
                  <w:r>
                    <w:rPr>
                      <w:rFonts w:hint="eastAsia" w:ascii="宋体" w:hAnsi="宋体" w:eastAsia="宋体" w:cs="宋体"/>
                      <w:sz w:val="36"/>
                      <w:szCs w:val="36"/>
                      <w:lang w:val="en-US" w:eastAsia="zh-CN"/>
                    </w:rPr>
                    <w:tab/>
                  </w:r>
                </w:p>
                <w:p>
                  <w:pPr>
                    <w:numPr>
                      <w:ilvl w:val="0"/>
                      <w:numId w:val="36"/>
                    </w:numPr>
                    <w:spacing w:line="360" w:lineRule="auto"/>
                    <w:ind w:left="425" w:hanging="425" w:firstLineChars="0"/>
                    <w:rPr>
                      <w:rFonts w:hint="eastAsia"/>
                      <w:lang w:val="en-US" w:eastAsia="zh-CN"/>
                    </w:rPr>
                  </w:pPr>
                  <w:r>
                    <w:rPr>
                      <w:rFonts w:hint="eastAsia"/>
                      <w:lang w:val="en-US" w:eastAsia="zh-CN"/>
                    </w:rPr>
                    <w:t>可自定义、随机抽取处方/医嘱进行人工点评。</w:t>
                  </w:r>
                </w:p>
                <w:p>
                  <w:pPr>
                    <w:numPr>
                      <w:ilvl w:val="0"/>
                      <w:numId w:val="36"/>
                    </w:numPr>
                    <w:spacing w:line="360" w:lineRule="auto"/>
                    <w:ind w:left="425" w:hanging="425" w:firstLineChars="0"/>
                    <w:rPr>
                      <w:rFonts w:hint="eastAsia"/>
                      <w:lang w:val="en-US" w:eastAsia="zh-CN"/>
                    </w:rPr>
                  </w:pPr>
                  <w:r>
                    <w:rPr>
                      <w:rFonts w:hint="eastAsia"/>
                      <w:lang w:val="en-US" w:eastAsia="zh-CN"/>
                    </w:rPr>
                    <w:t>支持按照药品分类抽取处方，如药理分类，医保分类，医院分类，管理分类等；</w:t>
                  </w:r>
                </w:p>
                <w:p>
                  <w:pPr>
                    <w:numPr>
                      <w:ilvl w:val="0"/>
                      <w:numId w:val="36"/>
                    </w:numPr>
                    <w:spacing w:line="360" w:lineRule="auto"/>
                    <w:ind w:left="425" w:hanging="425" w:firstLineChars="0"/>
                    <w:rPr>
                      <w:rFonts w:hint="eastAsia"/>
                      <w:lang w:val="en-US" w:eastAsia="zh-CN"/>
                    </w:rPr>
                  </w:pPr>
                  <w:r>
                    <w:rPr>
                      <w:rFonts w:hint="eastAsia"/>
                      <w:lang w:val="en-US" w:eastAsia="zh-CN"/>
                    </w:rPr>
                    <w:t>支持按照医院药品属性抽取处方，如基药，医保，抗菌药物，集采等；</w:t>
                  </w:r>
                </w:p>
                <w:p>
                  <w:pPr>
                    <w:numPr>
                      <w:ilvl w:val="0"/>
                      <w:numId w:val="36"/>
                    </w:numPr>
                    <w:spacing w:line="360" w:lineRule="auto"/>
                    <w:ind w:left="425" w:hanging="425" w:firstLineChars="0"/>
                    <w:rPr>
                      <w:rFonts w:hint="eastAsia"/>
                      <w:lang w:val="en-US" w:eastAsia="zh-CN"/>
                    </w:rPr>
                  </w:pPr>
                  <w:r>
                    <w:rPr>
                      <w:rFonts w:hint="eastAsia"/>
                      <w:lang w:val="en-US" w:eastAsia="zh-CN"/>
                    </w:rPr>
                    <w:t>支持按照患者属性抽取处方，如患者号；</w:t>
                  </w:r>
                </w:p>
                <w:p>
                  <w:pPr>
                    <w:numPr>
                      <w:ilvl w:val="0"/>
                      <w:numId w:val="36"/>
                    </w:numPr>
                    <w:spacing w:line="360" w:lineRule="auto"/>
                    <w:ind w:left="425" w:hanging="425" w:firstLineChars="0"/>
                    <w:rPr>
                      <w:rFonts w:hint="eastAsia"/>
                      <w:lang w:val="en-US" w:eastAsia="zh-CN"/>
                    </w:rPr>
                  </w:pPr>
                  <w:r>
                    <w:rPr>
                      <w:rFonts w:hint="eastAsia"/>
                      <w:lang w:val="en-US" w:eastAsia="zh-CN"/>
                    </w:rPr>
                    <w:t>支持按照科室、医生比例和处方数抽取处方；</w:t>
                  </w:r>
                </w:p>
                <w:p>
                  <w:pPr>
                    <w:numPr>
                      <w:ilvl w:val="0"/>
                      <w:numId w:val="36"/>
                    </w:numPr>
                    <w:spacing w:line="360" w:lineRule="auto"/>
                    <w:ind w:left="425" w:hanging="425" w:firstLineChars="0"/>
                    <w:rPr>
                      <w:rFonts w:hint="eastAsia"/>
                      <w:lang w:val="en-US" w:eastAsia="zh-CN"/>
                    </w:rPr>
                  </w:pPr>
                  <w:r>
                    <w:rPr>
                      <w:rFonts w:hint="eastAsia"/>
                      <w:lang w:val="en-US" w:eastAsia="zh-CN"/>
                    </w:rPr>
                    <w:t>支持按照全处方/医嘱审核结果抽取处方，如警示类型、警示级别等</w:t>
                  </w:r>
                </w:p>
                <w:p>
                  <w:pPr>
                    <w:numPr>
                      <w:ilvl w:val="0"/>
                      <w:numId w:val="36"/>
                    </w:numPr>
                    <w:spacing w:line="360" w:lineRule="auto"/>
                    <w:ind w:left="425" w:hanging="425" w:firstLineChars="0"/>
                    <w:rPr>
                      <w:rFonts w:hint="eastAsia"/>
                      <w:lang w:val="en-US" w:eastAsia="zh-CN"/>
                    </w:rPr>
                  </w:pPr>
                  <w:r>
                    <w:rPr>
                      <w:rFonts w:hint="eastAsia"/>
                      <w:lang w:val="en-US" w:eastAsia="zh-CN"/>
                    </w:rPr>
                    <w:t>支持医院自定义抽取条件。</w:t>
                  </w:r>
                </w:p>
                <w:p>
                  <w:pPr>
                    <w:numPr>
                      <w:ilvl w:val="0"/>
                      <w:numId w:val="36"/>
                    </w:numPr>
                    <w:spacing w:line="360" w:lineRule="auto"/>
                    <w:ind w:left="425" w:hanging="425" w:firstLineChars="0"/>
                    <w:rPr>
                      <w:rFonts w:hint="eastAsia"/>
                      <w:lang w:val="en-US" w:eastAsia="zh-CN"/>
                    </w:rPr>
                  </w:pPr>
                  <w:r>
                    <w:rPr>
                      <w:rFonts w:hint="eastAsia"/>
                      <w:lang w:val="en-US" w:eastAsia="zh-CN"/>
                    </w:rPr>
                    <w:t>支持药师一键生成点评计划，便于进行点评和管理点评进度。</w:t>
                  </w:r>
                </w:p>
                <w:p>
                  <w:pPr>
                    <w:numPr>
                      <w:ilvl w:val="0"/>
                      <w:numId w:val="36"/>
                    </w:numPr>
                    <w:spacing w:line="360" w:lineRule="auto"/>
                    <w:ind w:left="425" w:hanging="425" w:firstLineChars="0"/>
                    <w:rPr>
                      <w:rFonts w:hint="eastAsia"/>
                      <w:lang w:val="en-US" w:eastAsia="zh-CN"/>
                    </w:rPr>
                  </w:pPr>
                  <w:r>
                    <w:rPr>
                      <w:rFonts w:hint="eastAsia"/>
                      <w:lang w:val="en-US" w:eastAsia="zh-CN"/>
                    </w:rPr>
                    <w:t>支持药师点评时查看处方详情和本次患者历史就诊处方信息。</w:t>
                  </w:r>
                </w:p>
                <w:p>
                  <w:pPr>
                    <w:numPr>
                      <w:ilvl w:val="0"/>
                      <w:numId w:val="36"/>
                    </w:numPr>
                    <w:spacing w:line="360" w:lineRule="auto"/>
                    <w:ind w:left="425" w:hanging="425" w:firstLineChars="0"/>
                    <w:rPr>
                      <w:rFonts w:hint="eastAsia"/>
                      <w:lang w:val="en-US" w:eastAsia="zh-CN"/>
                    </w:rPr>
                  </w:pPr>
                  <w:r>
                    <w:rPr>
                      <w:rFonts w:hint="eastAsia"/>
                      <w:lang w:val="en-US" w:eastAsia="zh-CN"/>
                    </w:rPr>
                    <w:t>支持医生申诉药师点评结果。</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住院医嘱点评</w:t>
                  </w:r>
                  <w:r>
                    <w:rPr>
                      <w:rFonts w:hint="eastAsia" w:ascii="宋体" w:hAnsi="宋体" w:eastAsia="宋体" w:cs="宋体"/>
                      <w:sz w:val="36"/>
                      <w:szCs w:val="36"/>
                      <w:lang w:val="en-US" w:eastAsia="zh-CN"/>
                    </w:rPr>
                    <w:tab/>
                  </w:r>
                </w:p>
                <w:p>
                  <w:pPr>
                    <w:numPr>
                      <w:ilvl w:val="0"/>
                      <w:numId w:val="37"/>
                    </w:numPr>
                    <w:spacing w:line="360" w:lineRule="auto"/>
                    <w:ind w:left="425" w:hanging="425" w:firstLineChars="0"/>
                    <w:rPr>
                      <w:rFonts w:hint="eastAsia"/>
                      <w:lang w:val="en-US" w:eastAsia="zh-CN"/>
                    </w:rPr>
                  </w:pPr>
                  <w:r>
                    <w:rPr>
                      <w:rFonts w:hint="eastAsia"/>
                      <w:lang w:val="en-US" w:eastAsia="zh-CN"/>
                    </w:rPr>
                    <w:t>支持按以下条件组合进行抽取：日期、科室、医疗组、结算类型、百分比（抽取医嘱占比）、数量（抽取医嘱数量）、住院流水号、诊疗卡号、患者姓名、年龄范围、诊断、切口类型（I/II/III）、药品名、药理分类、警示类型、给药途径、给药目的、其他条件（抗菌药物、注射给药、中药注射、妊娠用药、血液制品、糖皮质激素、能量用药、营养用药、PPI、毒麻精放、基药处方）；抽取的医嘱带有系统智能点评结果，供药师参考；对含全身用抗菌药物、局部用抗菌药物、注射用药的医嘱用醒目颜色进行标示。</w:t>
                  </w:r>
                </w:p>
                <w:p>
                  <w:pPr>
                    <w:numPr>
                      <w:ilvl w:val="0"/>
                      <w:numId w:val="37"/>
                    </w:numPr>
                    <w:spacing w:line="360" w:lineRule="auto"/>
                    <w:ind w:left="425" w:hanging="425" w:firstLineChars="0"/>
                    <w:rPr>
                      <w:rFonts w:hint="eastAsia"/>
                      <w:lang w:val="en-US" w:eastAsia="zh-CN"/>
                    </w:rPr>
                  </w:pPr>
                  <w:r>
                    <w:rPr>
                      <w:rFonts w:hint="eastAsia"/>
                      <w:lang w:val="en-US" w:eastAsia="zh-CN"/>
                    </w:rPr>
                    <w:t>支持根据专项点评模板进行抽取，满足医院不同类型医嘱点评需求，包含I、Ⅱ类手术切口抗菌药物的点评（手术前、中、后数据）医嘱点评，糖皮质激素药物医嘱点评，特殊级抗菌药物医嘱点评等。</w:t>
                  </w:r>
                </w:p>
                <w:p>
                  <w:pPr>
                    <w:numPr>
                      <w:ilvl w:val="0"/>
                      <w:numId w:val="37"/>
                    </w:numPr>
                    <w:spacing w:line="360" w:lineRule="auto"/>
                    <w:ind w:left="425" w:hanging="425" w:firstLineChars="0"/>
                    <w:rPr>
                      <w:rFonts w:hint="eastAsia"/>
                      <w:lang w:val="en-US" w:eastAsia="zh-CN"/>
                    </w:rPr>
                  </w:pPr>
                  <w:r>
                    <w:rPr>
                      <w:rFonts w:hint="eastAsia"/>
                      <w:lang w:val="en-US" w:eastAsia="zh-CN"/>
                    </w:rPr>
                    <w:t>支持医嘱列表和药嘱明细下载。</w:t>
                  </w:r>
                </w:p>
                <w:p>
                  <w:pPr>
                    <w:numPr>
                      <w:ilvl w:val="0"/>
                      <w:numId w:val="37"/>
                    </w:numPr>
                    <w:spacing w:line="360" w:lineRule="auto"/>
                    <w:ind w:left="425" w:hanging="425" w:firstLineChars="0"/>
                    <w:rPr>
                      <w:rFonts w:hint="eastAsia"/>
                      <w:lang w:val="en-US" w:eastAsia="zh-CN"/>
                    </w:rPr>
                  </w:pPr>
                  <w:r>
                    <w:rPr>
                      <w:rFonts w:hint="eastAsia"/>
                      <w:lang w:val="en-US" w:eastAsia="zh-CN"/>
                    </w:rPr>
                    <w:t>支持医嘱点评模板的维护功能，用户可以根据自身需求，选择患者信息、手术信息、药品信息，全面满足医嘱专项点评需求。系统默认提供I II 类手术切口点评表、糖皮质激素病历点评（注射用甲泼尼龙）、非手术病历抗菌药物医嘱点评、特殊使用级抗菌药物医嘱点评模板。</w:t>
                  </w:r>
                </w:p>
                <w:p>
                  <w:pPr>
                    <w:numPr>
                      <w:ilvl w:val="0"/>
                      <w:numId w:val="37"/>
                    </w:numPr>
                    <w:spacing w:line="360" w:lineRule="auto"/>
                    <w:ind w:left="425" w:hanging="425" w:firstLineChars="0"/>
                    <w:rPr>
                      <w:rFonts w:hint="eastAsia"/>
                      <w:lang w:val="en-US" w:eastAsia="zh-CN"/>
                    </w:rPr>
                  </w:pPr>
                  <w:r>
                    <w:rPr>
                      <w:rFonts w:hint="eastAsia"/>
                      <w:lang w:val="en-US" w:eastAsia="zh-CN"/>
                    </w:rPr>
                    <w:t>支持药师一键生成点评计划，便于进行点评和管理点评进度。</w:t>
                  </w:r>
                </w:p>
                <w:p>
                  <w:pPr>
                    <w:numPr>
                      <w:ilvl w:val="0"/>
                      <w:numId w:val="37"/>
                    </w:numPr>
                    <w:spacing w:line="360" w:lineRule="auto"/>
                    <w:ind w:left="425" w:hanging="425" w:firstLineChars="0"/>
                    <w:rPr>
                      <w:rFonts w:hint="eastAsia"/>
                      <w:lang w:val="en-US" w:eastAsia="zh-CN"/>
                    </w:rPr>
                  </w:pPr>
                  <w:r>
                    <w:rPr>
                      <w:rFonts w:hint="eastAsia"/>
                      <w:lang w:val="en-US" w:eastAsia="zh-CN"/>
                    </w:rPr>
                    <w:t>支持药师点评时查看医嘱详情和本次患者历史就诊信息。</w:t>
                  </w:r>
                </w:p>
                <w:p>
                  <w:pPr>
                    <w:numPr>
                      <w:ilvl w:val="0"/>
                      <w:numId w:val="37"/>
                    </w:numPr>
                    <w:spacing w:line="360" w:lineRule="auto"/>
                    <w:ind w:left="425" w:hanging="425" w:firstLineChars="0"/>
                    <w:rPr>
                      <w:rFonts w:hint="eastAsia"/>
                      <w:lang w:val="en-US" w:eastAsia="zh-CN"/>
                    </w:rPr>
                  </w:pPr>
                  <w:r>
                    <w:rPr>
                      <w:rFonts w:hint="eastAsia"/>
                      <w:lang w:val="en-US" w:eastAsia="zh-CN"/>
                    </w:rPr>
                    <w:t>支持医生申诉药师点评结果。</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抗菌药物专项管理</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医生填报理由</w:t>
                  </w:r>
                  <w:r>
                    <w:rPr>
                      <w:rFonts w:hint="eastAsia" w:ascii="宋体" w:hAnsi="宋体" w:eastAsia="宋体" w:cs="宋体"/>
                      <w:sz w:val="36"/>
                      <w:szCs w:val="36"/>
                      <w:lang w:val="en-US" w:eastAsia="zh-CN"/>
                    </w:rPr>
                    <w:tab/>
                  </w:r>
                </w:p>
                <w:p>
                  <w:pPr>
                    <w:numPr>
                      <w:ilvl w:val="0"/>
                      <w:numId w:val="38"/>
                    </w:numPr>
                    <w:spacing w:line="360" w:lineRule="auto"/>
                    <w:ind w:left="425" w:hanging="425" w:firstLineChars="0"/>
                    <w:rPr>
                      <w:rFonts w:hint="eastAsia"/>
                      <w:lang w:val="en-US" w:eastAsia="zh-CN"/>
                    </w:rPr>
                  </w:pPr>
                  <w:r>
                    <w:rPr>
                      <w:rFonts w:hint="eastAsia"/>
                      <w:lang w:val="en-US" w:eastAsia="zh-CN"/>
                    </w:rPr>
                    <w:t>根据《碳青霉烯类抗菌药物临床应用评价细则》和《抗菌药物临床应用管理办法》等指导原则，医生在开具特殊级抗菌药物时，应该有明确的指征。</w:t>
                  </w:r>
                </w:p>
                <w:p>
                  <w:pPr>
                    <w:numPr>
                      <w:ilvl w:val="0"/>
                      <w:numId w:val="38"/>
                    </w:numPr>
                    <w:spacing w:line="360" w:lineRule="auto"/>
                    <w:ind w:left="425" w:hanging="425" w:firstLineChars="0"/>
                    <w:rPr>
                      <w:rFonts w:hint="eastAsia"/>
                      <w:lang w:val="en-US" w:eastAsia="zh-CN"/>
                    </w:rPr>
                  </w:pPr>
                  <w:r>
                    <w:rPr>
                      <w:rFonts w:hint="eastAsia"/>
                      <w:lang w:val="en-US" w:eastAsia="zh-CN"/>
                    </w:rPr>
                    <w:t>支持药师设置抗菌药物填报的规则，当医生开具此类药物时，弹出提示框。</w:t>
                  </w:r>
                </w:p>
                <w:p>
                  <w:pPr>
                    <w:numPr>
                      <w:ilvl w:val="0"/>
                      <w:numId w:val="38"/>
                    </w:numPr>
                    <w:spacing w:line="360" w:lineRule="auto"/>
                    <w:ind w:left="425" w:hanging="425" w:firstLineChars="0"/>
                    <w:rPr>
                      <w:rFonts w:hint="eastAsia"/>
                      <w:lang w:val="en-US" w:eastAsia="zh-CN"/>
                    </w:rPr>
                  </w:pPr>
                  <w:r>
                    <w:rPr>
                      <w:rFonts w:hint="eastAsia"/>
                      <w:lang w:val="en-US" w:eastAsia="zh-CN"/>
                    </w:rPr>
                    <w:t>支持药师配置抗菌药物的填报项目和内容。填报的理由应该建立在相应对的抗菌药物上选择使用该药物理由，使用目的，治疗指征，感染器官/系统，经验用药送检，手术及药敏信息。</w:t>
                  </w:r>
                  <w:r>
                    <w:rPr>
                      <w:rFonts w:hint="eastAsia" w:asciiTheme="minorEastAsia" w:hAnsiTheme="minorEastAsia" w:eastAsiaTheme="minorEastAsia" w:cstheme="minorEastAsia"/>
                      <w:color w:val="auto"/>
                      <w:kern w:val="0"/>
                      <w:szCs w:val="21"/>
                      <w:highlight w:val="none"/>
                    </w:rPr>
                    <w:t>【需要提供真实产品演示】</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抗菌药物分析</w:t>
                  </w:r>
                  <w:r>
                    <w:rPr>
                      <w:rFonts w:hint="eastAsia" w:ascii="宋体" w:hAnsi="宋体" w:eastAsia="宋体" w:cs="宋体"/>
                      <w:sz w:val="36"/>
                      <w:szCs w:val="36"/>
                      <w:lang w:val="en-US" w:eastAsia="zh-CN"/>
                    </w:rPr>
                    <w:tab/>
                  </w:r>
                </w:p>
                <w:p>
                  <w:pPr>
                    <w:numPr>
                      <w:ilvl w:val="0"/>
                      <w:numId w:val="39"/>
                    </w:numPr>
                    <w:spacing w:line="360" w:lineRule="auto"/>
                    <w:ind w:left="425" w:hanging="425" w:firstLineChars="0"/>
                    <w:rPr>
                      <w:rFonts w:hint="eastAsia"/>
                      <w:lang w:val="en-US" w:eastAsia="zh-CN"/>
                    </w:rPr>
                  </w:pPr>
                  <w:r>
                    <w:rPr>
                      <w:rFonts w:hint="eastAsia"/>
                      <w:lang w:val="en-US" w:eastAsia="zh-CN"/>
                    </w:rPr>
                    <w:t>支持药师进行抗菌药物管理及专项分析。包括但不限于以下统计维度：科室、医生、门诊、住院、送检、I类切口等统计报表。</w:t>
                  </w:r>
                </w:p>
                <w:p>
                  <w:pPr>
                    <w:numPr>
                      <w:ilvl w:val="0"/>
                      <w:numId w:val="39"/>
                    </w:numPr>
                    <w:spacing w:line="360" w:lineRule="auto"/>
                    <w:ind w:left="425" w:hanging="425" w:firstLineChars="0"/>
                    <w:rPr>
                      <w:rFonts w:hint="eastAsia"/>
                      <w:lang w:val="en-US" w:eastAsia="zh-CN"/>
                    </w:rPr>
                  </w:pPr>
                  <w:r>
                    <w:rPr>
                      <w:rFonts w:hint="eastAsia"/>
                      <w:lang w:val="en-US" w:eastAsia="zh-CN"/>
                    </w:rPr>
                    <w:t>住院抗菌药物静脉输液用药情况。</w:t>
                  </w:r>
                </w:p>
                <w:p>
                  <w:pPr>
                    <w:numPr>
                      <w:ilvl w:val="0"/>
                      <w:numId w:val="39"/>
                    </w:numPr>
                    <w:spacing w:line="360" w:lineRule="auto"/>
                    <w:ind w:left="425" w:hanging="425" w:firstLineChars="0"/>
                    <w:rPr>
                      <w:rFonts w:hint="eastAsia"/>
                      <w:lang w:val="en-US" w:eastAsia="zh-CN"/>
                    </w:rPr>
                  </w:pPr>
                  <w:r>
                    <w:rPr>
                      <w:rFonts w:hint="eastAsia"/>
                      <w:lang w:val="en-US" w:eastAsia="zh-CN"/>
                    </w:rPr>
                    <w:t>全院抗菌药物品种数量分析。</w:t>
                  </w:r>
                </w:p>
                <w:p>
                  <w:pPr>
                    <w:numPr>
                      <w:ilvl w:val="0"/>
                      <w:numId w:val="39"/>
                    </w:numPr>
                    <w:spacing w:line="360" w:lineRule="auto"/>
                    <w:ind w:left="425" w:hanging="425" w:firstLineChars="0"/>
                    <w:rPr>
                      <w:rFonts w:hint="eastAsia"/>
                      <w:lang w:val="en-US" w:eastAsia="zh-CN"/>
                    </w:rPr>
                  </w:pPr>
                  <w:r>
                    <w:rPr>
                      <w:rFonts w:hint="eastAsia"/>
                      <w:lang w:val="en-US" w:eastAsia="zh-CN"/>
                    </w:rPr>
                    <w:t>Ⅰ类切口抗菌药物使用分析。</w:t>
                  </w:r>
                </w:p>
                <w:p>
                  <w:pPr>
                    <w:numPr>
                      <w:ilvl w:val="0"/>
                      <w:numId w:val="39"/>
                    </w:numPr>
                    <w:spacing w:line="360" w:lineRule="auto"/>
                    <w:ind w:left="425" w:hanging="425" w:firstLineChars="0"/>
                    <w:rPr>
                      <w:rFonts w:hint="eastAsia"/>
                      <w:lang w:val="en-US" w:eastAsia="zh-CN"/>
                    </w:rPr>
                  </w:pPr>
                  <w:r>
                    <w:rPr>
                      <w:rFonts w:hint="eastAsia"/>
                      <w:lang w:val="en-US" w:eastAsia="zh-CN"/>
                    </w:rPr>
                    <w:t>住院Ⅰ类切口抗菌药物预防用药。</w:t>
                  </w:r>
                </w:p>
                <w:p>
                  <w:pPr>
                    <w:numPr>
                      <w:ilvl w:val="0"/>
                      <w:numId w:val="39"/>
                    </w:numPr>
                    <w:spacing w:line="360" w:lineRule="auto"/>
                    <w:ind w:left="425" w:hanging="425" w:firstLineChars="0"/>
                    <w:rPr>
                      <w:rFonts w:hint="eastAsia"/>
                      <w:lang w:val="en-US" w:eastAsia="zh-CN"/>
                    </w:rPr>
                  </w:pPr>
                  <w:r>
                    <w:rPr>
                      <w:rFonts w:hint="eastAsia"/>
                      <w:lang w:val="en-US" w:eastAsia="zh-CN"/>
                    </w:rPr>
                    <w:t>全院抗菌药物特殊品种占抗菌药物使用量比例。</w:t>
                  </w:r>
                </w:p>
                <w:p>
                  <w:pPr>
                    <w:numPr>
                      <w:ilvl w:val="0"/>
                      <w:numId w:val="39"/>
                    </w:numPr>
                    <w:spacing w:line="360" w:lineRule="auto"/>
                    <w:ind w:left="425" w:hanging="425" w:firstLineChars="0"/>
                    <w:rPr>
                      <w:rFonts w:hint="eastAsia"/>
                      <w:lang w:val="en-US" w:eastAsia="zh-CN"/>
                    </w:rPr>
                  </w:pPr>
                  <w:r>
                    <w:rPr>
                      <w:rFonts w:hint="eastAsia"/>
                      <w:lang w:val="en-US" w:eastAsia="zh-CN"/>
                    </w:rPr>
                    <w:t>门（急）诊就诊抗菌药物使用率。</w:t>
                  </w:r>
                </w:p>
                <w:p>
                  <w:pPr>
                    <w:numPr>
                      <w:ilvl w:val="0"/>
                      <w:numId w:val="39"/>
                    </w:numPr>
                    <w:spacing w:line="360" w:lineRule="auto"/>
                    <w:ind w:left="425" w:hanging="425" w:firstLineChars="0"/>
                    <w:rPr>
                      <w:rFonts w:hint="eastAsia"/>
                      <w:lang w:val="en-US" w:eastAsia="zh-CN"/>
                    </w:rPr>
                  </w:pPr>
                  <w:r>
                    <w:rPr>
                      <w:rFonts w:hint="eastAsia"/>
                      <w:lang w:val="en-US" w:eastAsia="zh-CN"/>
                    </w:rPr>
                    <w:t>住院特殊类抗菌药物患者病原学检查百分比。</w:t>
                  </w:r>
                </w:p>
                <w:p>
                  <w:pPr>
                    <w:numPr>
                      <w:ilvl w:val="0"/>
                      <w:numId w:val="39"/>
                    </w:numPr>
                    <w:spacing w:line="360" w:lineRule="auto"/>
                    <w:ind w:left="425" w:hanging="425" w:firstLineChars="0"/>
                    <w:rPr>
                      <w:rFonts w:hint="eastAsia"/>
                      <w:lang w:val="en-US" w:eastAsia="zh-CN"/>
                    </w:rPr>
                  </w:pPr>
                  <w:r>
                    <w:rPr>
                      <w:rFonts w:hint="eastAsia"/>
                      <w:lang w:val="en-US" w:eastAsia="zh-CN"/>
                    </w:rPr>
                    <w:t>住院抗菌药物患者病原学检查百分比。</w:t>
                  </w:r>
                </w:p>
                <w:p>
                  <w:pPr>
                    <w:numPr>
                      <w:ilvl w:val="0"/>
                      <w:numId w:val="39"/>
                    </w:numPr>
                    <w:spacing w:line="360" w:lineRule="auto"/>
                    <w:ind w:left="425" w:hanging="425" w:firstLineChars="0"/>
                    <w:rPr>
                      <w:rFonts w:hint="eastAsia"/>
                      <w:lang w:val="en-US" w:eastAsia="zh-CN"/>
                    </w:rPr>
                  </w:pPr>
                  <w:r>
                    <w:rPr>
                      <w:rFonts w:hint="eastAsia"/>
                      <w:lang w:val="en-US" w:eastAsia="zh-CN"/>
                    </w:rPr>
                    <w:t>住院患者抗菌药物静脉输液占比。</w:t>
                  </w:r>
                </w:p>
                <w:p>
                  <w:pPr>
                    <w:numPr>
                      <w:ilvl w:val="0"/>
                      <w:numId w:val="39"/>
                    </w:numPr>
                    <w:spacing w:line="360" w:lineRule="auto"/>
                    <w:ind w:left="425" w:hanging="425" w:firstLineChars="0"/>
                    <w:rPr>
                      <w:rFonts w:hint="eastAsia"/>
                      <w:lang w:val="en-US" w:eastAsia="zh-CN"/>
                    </w:rPr>
                  </w:pPr>
                  <w:r>
                    <w:rPr>
                      <w:rFonts w:hint="eastAsia"/>
                      <w:lang w:val="en-US" w:eastAsia="zh-CN"/>
                    </w:rPr>
                    <w:t>住院抗菌药物使用强度。</w:t>
                  </w:r>
                </w:p>
                <w:p>
                  <w:pPr>
                    <w:numPr>
                      <w:ilvl w:val="0"/>
                      <w:numId w:val="39"/>
                    </w:numPr>
                    <w:spacing w:line="360" w:lineRule="auto"/>
                    <w:ind w:left="425" w:hanging="425" w:firstLineChars="0"/>
                    <w:rPr>
                      <w:rFonts w:hint="eastAsia"/>
                      <w:lang w:val="en-US" w:eastAsia="zh-CN"/>
                    </w:rPr>
                  </w:pPr>
                  <w:r>
                    <w:rPr>
                      <w:rFonts w:hint="eastAsia"/>
                      <w:lang w:val="en-US" w:eastAsia="zh-CN"/>
                    </w:rPr>
                    <w:t>门（急）诊静脉输液处方使用率。</w:t>
                  </w:r>
                </w:p>
                <w:p>
                  <w:pPr>
                    <w:numPr>
                      <w:ilvl w:val="0"/>
                      <w:numId w:val="39"/>
                    </w:numPr>
                    <w:spacing w:line="360" w:lineRule="auto"/>
                    <w:ind w:left="425" w:hanging="425" w:firstLineChars="0"/>
                    <w:rPr>
                      <w:rFonts w:hint="eastAsia"/>
                      <w:lang w:val="en-US" w:eastAsia="zh-CN"/>
                    </w:rPr>
                  </w:pPr>
                  <w:r>
                    <w:rPr>
                      <w:rFonts w:hint="eastAsia"/>
                      <w:lang w:val="en-US" w:eastAsia="zh-CN"/>
                    </w:rPr>
                    <w:t>住院患者静脉输液使用率。</w:t>
                  </w:r>
                </w:p>
                <w:p>
                  <w:pPr>
                    <w:numPr>
                      <w:ilvl w:val="0"/>
                      <w:numId w:val="39"/>
                    </w:numPr>
                    <w:spacing w:line="360" w:lineRule="auto"/>
                    <w:ind w:left="425" w:hanging="425" w:firstLineChars="0"/>
                    <w:rPr>
                      <w:rFonts w:hint="eastAsia"/>
                      <w:lang w:val="en-US" w:eastAsia="zh-CN"/>
                    </w:rPr>
                  </w:pPr>
                  <w:r>
                    <w:rPr>
                      <w:rFonts w:hint="eastAsia"/>
                      <w:lang w:val="en-US" w:eastAsia="zh-CN"/>
                    </w:rPr>
                    <w:t>住院限制类抗菌药物患者病原学检查百分比。</w:t>
                  </w:r>
                </w:p>
                <w:p>
                  <w:pPr>
                    <w:numPr>
                      <w:ilvl w:val="0"/>
                      <w:numId w:val="39"/>
                    </w:numPr>
                    <w:spacing w:line="360" w:lineRule="auto"/>
                    <w:ind w:left="425" w:hanging="425" w:firstLineChars="0"/>
                    <w:rPr>
                      <w:rFonts w:hint="eastAsia"/>
                      <w:lang w:val="en-US" w:eastAsia="zh-CN"/>
                    </w:rPr>
                  </w:pPr>
                  <w:r>
                    <w:rPr>
                      <w:rFonts w:hint="eastAsia"/>
                      <w:lang w:val="en-US" w:eastAsia="zh-CN"/>
                    </w:rPr>
                    <w:t>住院患者抗菌药物使用率。</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医药知识库</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医药数据中心</w:t>
                  </w:r>
                  <w:r>
                    <w:rPr>
                      <w:rFonts w:hint="eastAsia" w:ascii="宋体" w:hAnsi="宋体" w:eastAsia="宋体" w:cs="宋体"/>
                      <w:sz w:val="36"/>
                      <w:szCs w:val="36"/>
                      <w:lang w:val="en-US" w:eastAsia="zh-CN"/>
                    </w:rPr>
                    <w:tab/>
                  </w:r>
                </w:p>
                <w:p>
                  <w:pPr>
                    <w:numPr>
                      <w:ilvl w:val="0"/>
                      <w:numId w:val="40"/>
                    </w:numPr>
                    <w:spacing w:line="360" w:lineRule="auto"/>
                    <w:ind w:left="425" w:hanging="425" w:firstLineChars="0"/>
                    <w:rPr>
                      <w:rFonts w:hint="eastAsia"/>
                      <w:lang w:val="en-US" w:eastAsia="zh-CN"/>
                    </w:rPr>
                  </w:pPr>
                  <w:r>
                    <w:rPr>
                      <w:rFonts w:hint="eastAsia"/>
                      <w:lang w:val="en-US" w:eastAsia="zh-CN"/>
                    </w:rPr>
                    <w:t>系统药品提供涵盖相关国家药品监管总局和国家医疗保障局公布的药品目录，并关联本位码和医疗保险药品编码。全面覆盖临床使用的化学药、生物制品、中成药、中药饮片、医院制剂。支持医院制剂的比对，并生成规则列表；支持快速链接到规则设计图，直接添加规则。</w:t>
                  </w:r>
                </w:p>
                <w:p>
                  <w:pPr>
                    <w:numPr>
                      <w:ilvl w:val="0"/>
                      <w:numId w:val="40"/>
                    </w:numPr>
                    <w:spacing w:line="360" w:lineRule="auto"/>
                    <w:ind w:left="425" w:hanging="425" w:firstLineChars="0"/>
                    <w:rPr>
                      <w:rFonts w:hint="eastAsia"/>
                      <w:lang w:val="en-US" w:eastAsia="zh-CN"/>
                    </w:rPr>
                  </w:pPr>
                  <w:r>
                    <w:rPr>
                      <w:rFonts w:hint="eastAsia"/>
                      <w:lang w:val="en-US" w:eastAsia="zh-CN"/>
                    </w:rPr>
                    <w:t>属性管理：系统提供药品数据属性，包含批准文号，本位码，处方组成，适应症，基本药物，医保目录，妊娠用药，精麻毒放，血液制品，糖皮质激素，能量用药，营养用药，PPI（质子泵抑制剂），重点监控，医保类别，医保分类，药理分类，抗菌药物，抗菌药物分级，抗菌药物DDD值，口服药物，注射药物，中成药注射剂，国采品种，一致性评价、抗肿瘤药物分级等默认属性数据库，提供标签式查询。</w:t>
                  </w:r>
                </w:p>
                <w:p>
                  <w:pPr>
                    <w:numPr>
                      <w:ilvl w:val="0"/>
                      <w:numId w:val="40"/>
                    </w:numPr>
                    <w:spacing w:line="360" w:lineRule="auto"/>
                    <w:ind w:left="425" w:hanging="425" w:firstLineChars="0"/>
                    <w:rPr>
                      <w:rFonts w:hint="eastAsia"/>
                      <w:lang w:val="en-US" w:eastAsia="zh-CN"/>
                    </w:rPr>
                  </w:pPr>
                  <w:r>
                    <w:rPr>
                      <w:rFonts w:hint="eastAsia"/>
                      <w:lang w:val="en-US" w:eastAsia="zh-CN"/>
                    </w:rPr>
                    <w:t>自定义属性管理：系统提供医院自定义药品属性，包括中药饮片医院管控，毒麻精放，重点监控药物，中药注射剂，超药品说明书用药目录，须皮试药物，抗菌药物分级，抗肿瘤药物，妊娠安全等级，含可待因复方口服溶液品种目录，兴奋剂，中药妊娠期禁忌/慎用药，高警示药品，高警示药品分级，医院制剂，含麻醉药品和曲马多口服复方制剂目录等默认属性，医院可以自定义分类属性。</w:t>
                  </w:r>
                </w:p>
                <w:p>
                  <w:pPr>
                    <w:numPr>
                      <w:ilvl w:val="0"/>
                      <w:numId w:val="40"/>
                    </w:numPr>
                    <w:spacing w:line="360" w:lineRule="auto"/>
                    <w:ind w:left="425" w:hanging="425" w:firstLineChars="0"/>
                    <w:rPr>
                      <w:rFonts w:hint="eastAsia"/>
                      <w:lang w:val="en-US" w:eastAsia="zh-CN"/>
                    </w:rPr>
                  </w:pPr>
                  <w:r>
                    <w:rPr>
                      <w:rFonts w:hint="eastAsia"/>
                      <w:lang w:val="en-US" w:eastAsia="zh-CN"/>
                    </w:rPr>
                    <w:t>给药途径精细化管理：支持药师按照不同药品的不同给药途径进行比对；支持药师查询医师给药途径异常的处方，便于追溯问题原因。提供可以自动比对功能，无须一一比对。</w:t>
                  </w:r>
                  <w:r>
                    <w:rPr>
                      <w:rFonts w:hint="eastAsia" w:asciiTheme="minorEastAsia" w:hAnsiTheme="minorEastAsia" w:eastAsiaTheme="minorEastAsia" w:cstheme="minorEastAsia"/>
                      <w:color w:val="auto"/>
                      <w:kern w:val="0"/>
                      <w:szCs w:val="21"/>
                      <w:highlight w:val="none"/>
                    </w:rPr>
                    <w:t>【需要提供真实产品演示】</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知识库管理</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院内任意终端可使用浏览器查询各种前沿的医学药学知识，包括权威知识、医药书籍、诊疗规范、管理政策等，并采用原文的方式提供查询。可支持标题和注解检索。可支持医院自行维护医药知识库内容，例如药品说明书、权威知识、医药书籍、诊疗规范和管理政策等。</w:t>
                  </w:r>
                </w:p>
                <w:p>
                  <w:pPr>
                    <w:numPr>
                      <w:ilvl w:val="0"/>
                      <w:numId w:val="41"/>
                    </w:numPr>
                    <w:spacing w:line="360" w:lineRule="auto"/>
                    <w:ind w:left="425" w:hanging="425" w:firstLineChars="0"/>
                    <w:rPr>
                      <w:rFonts w:hint="eastAsia"/>
                      <w:lang w:val="en-US" w:eastAsia="zh-CN"/>
                    </w:rPr>
                  </w:pPr>
                  <w:r>
                    <w:rPr>
                      <w:rFonts w:hint="eastAsia"/>
                      <w:lang w:val="en-US" w:eastAsia="zh-CN"/>
                    </w:rPr>
                    <w:t>药品说明书</w:t>
                  </w:r>
                </w:p>
                <w:p>
                  <w:pPr>
                    <w:spacing w:line="360" w:lineRule="auto"/>
                    <w:ind w:firstLine="440" w:firstLineChars="200"/>
                    <w:rPr>
                      <w:rFonts w:hint="eastAsia"/>
                      <w:lang w:val="en-US" w:eastAsia="zh-CN"/>
                    </w:rPr>
                  </w:pPr>
                  <w:r>
                    <w:rPr>
                      <w:rFonts w:hint="eastAsia"/>
                      <w:lang w:val="en-US" w:eastAsia="zh-CN"/>
                    </w:rPr>
                    <w:t>提供国家药品监督管理总局（NMPA）审核发布的国家药品标准说明书，提供多种查询方式可快速查看在用厂家药品说明书。系统提供不同生产厂家和剂型药品说明书进行筛选，可将当前在用药品的厂家说明书优先设置为第一篇显示以便用户查看。</w:t>
                  </w:r>
                </w:p>
                <w:p>
                  <w:pPr>
                    <w:numPr>
                      <w:ilvl w:val="0"/>
                      <w:numId w:val="41"/>
                    </w:numPr>
                    <w:spacing w:line="360" w:lineRule="auto"/>
                    <w:ind w:left="425" w:hanging="425" w:firstLineChars="0"/>
                    <w:rPr>
                      <w:rFonts w:hint="eastAsia"/>
                      <w:lang w:val="en-US" w:eastAsia="zh-CN"/>
                    </w:rPr>
                  </w:pPr>
                  <w:r>
                    <w:rPr>
                      <w:rFonts w:hint="eastAsia"/>
                      <w:lang w:val="en-US" w:eastAsia="zh-CN"/>
                    </w:rPr>
                    <w:t>支持用户对药品说明书内容进行自定义维护与更新；支持对应说明书的药品图片上传与修改维护。</w:t>
                  </w:r>
                </w:p>
                <w:p>
                  <w:pPr>
                    <w:numPr>
                      <w:ilvl w:val="0"/>
                      <w:numId w:val="41"/>
                    </w:numPr>
                    <w:spacing w:line="360" w:lineRule="auto"/>
                    <w:ind w:left="425" w:hanging="425" w:firstLineChars="0"/>
                    <w:rPr>
                      <w:rFonts w:hint="eastAsia"/>
                      <w:lang w:val="en-US" w:eastAsia="zh-CN"/>
                    </w:rPr>
                  </w:pPr>
                  <w:r>
                    <w:rPr>
                      <w:rFonts w:hint="eastAsia"/>
                      <w:lang w:val="en-US" w:eastAsia="zh-CN"/>
                    </w:rPr>
                    <w:t>药品说明书需有自动更新功能，每年不低于 10 次更新，更新标准以产生不同数据为准则，并实现与药库系统同步。药品说明书更新后可在系统中进行自动提醒。</w:t>
                  </w:r>
                </w:p>
                <w:p>
                  <w:pPr>
                    <w:numPr>
                      <w:ilvl w:val="0"/>
                      <w:numId w:val="41"/>
                    </w:numPr>
                    <w:spacing w:line="360" w:lineRule="auto"/>
                    <w:ind w:left="425" w:hanging="425" w:firstLineChars="0"/>
                    <w:rPr>
                      <w:rFonts w:hint="eastAsia"/>
                      <w:lang w:val="en-US" w:eastAsia="zh-CN"/>
                    </w:rPr>
                  </w:pPr>
                  <w:r>
                    <w:rPr>
                      <w:rFonts w:hint="eastAsia"/>
                      <w:lang w:val="en-US" w:eastAsia="zh-CN"/>
                    </w:rPr>
                    <w:t>药物知识辅助</w:t>
                  </w:r>
                  <w:r>
                    <w:rPr>
                      <w:rFonts w:hint="eastAsia"/>
                      <w:lang w:val="en-US" w:eastAsia="zh-CN"/>
                    </w:rPr>
                    <w:tab/>
                  </w:r>
                </w:p>
                <w:p>
                  <w:pPr>
                    <w:numPr>
                      <w:ilvl w:val="-1"/>
                      <w:numId w:val="0"/>
                    </w:numPr>
                    <w:spacing w:line="360" w:lineRule="auto"/>
                    <w:ind w:left="0" w:firstLine="440" w:firstLineChars="200"/>
                    <w:rPr>
                      <w:rFonts w:hint="eastAsia"/>
                      <w:lang w:val="en-US" w:eastAsia="zh-CN"/>
                    </w:rPr>
                  </w:pPr>
                  <w:r>
                    <w:rPr>
                      <w:rFonts w:hint="eastAsia"/>
                      <w:lang w:val="en-US" w:eastAsia="zh-CN"/>
                    </w:rPr>
                    <w:t>医院管理药品众多，药品知识复杂，系统应整体提供药品的知识辅助功能，可以设置医保分类、药理分类、药品属性（是否医保，是否基本药物，高警示，抗菌药物等30多种属性）、药品说明书标签内容（警示语，适应证，用法用量，特殊人群等20多项内容），可以单个药品显示，也可以多个药品显示，帮助药师快速掌握知识点。</w:t>
                  </w:r>
                  <w:r>
                    <w:rPr>
                      <w:rFonts w:hint="eastAsia" w:asciiTheme="minorEastAsia" w:hAnsiTheme="minorEastAsia" w:eastAsiaTheme="minorEastAsia" w:cstheme="minorEastAsia"/>
                      <w:color w:val="auto"/>
                      <w:kern w:val="0"/>
                      <w:szCs w:val="21"/>
                      <w:highlight w:val="none"/>
                    </w:rPr>
                    <w:t>【需要提供真实产品演示】</w:t>
                  </w:r>
                </w:p>
                <w:p>
                  <w:pPr>
                    <w:numPr>
                      <w:ilvl w:val="0"/>
                      <w:numId w:val="41"/>
                    </w:numPr>
                    <w:spacing w:line="360" w:lineRule="auto"/>
                    <w:ind w:left="425" w:hanging="425" w:firstLineChars="0"/>
                    <w:rPr>
                      <w:rFonts w:hint="eastAsia"/>
                      <w:lang w:val="en-US" w:eastAsia="zh-CN"/>
                    </w:rPr>
                  </w:pPr>
                  <w:r>
                    <w:rPr>
                      <w:rFonts w:hint="eastAsia"/>
                      <w:lang w:val="en-US" w:eastAsia="zh-CN"/>
                    </w:rPr>
                    <w:t>药学知识辅助可以在事前实时审核、事后处方点评、前置审方等多个功能使用，不同场景只需要设置一次，无需重复设置。</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维护及定期更新</w:t>
                  </w:r>
                  <w:r>
                    <w:rPr>
                      <w:rFonts w:hint="eastAsia" w:ascii="宋体" w:hAnsi="宋体" w:eastAsia="宋体" w:cs="宋体"/>
                      <w:sz w:val="36"/>
                      <w:szCs w:val="36"/>
                      <w:lang w:val="en-US" w:eastAsia="zh-CN"/>
                    </w:rPr>
                    <w:tab/>
                  </w:r>
                </w:p>
                <w:p>
                  <w:pPr>
                    <w:numPr>
                      <w:ilvl w:val="0"/>
                      <w:numId w:val="42"/>
                    </w:numPr>
                    <w:spacing w:line="360" w:lineRule="auto"/>
                    <w:ind w:left="425" w:hanging="425" w:firstLineChars="0"/>
                    <w:rPr>
                      <w:rFonts w:hint="eastAsia"/>
                      <w:lang w:val="en-US" w:eastAsia="zh-CN"/>
                    </w:rPr>
                  </w:pPr>
                  <w:r>
                    <w:rPr>
                      <w:rFonts w:hint="eastAsia"/>
                      <w:lang w:val="en-US" w:eastAsia="zh-CN"/>
                    </w:rPr>
                    <w:t>支持门/急诊、住院调用医药知识库；</w:t>
                  </w:r>
                </w:p>
                <w:p>
                  <w:pPr>
                    <w:numPr>
                      <w:ilvl w:val="0"/>
                      <w:numId w:val="42"/>
                    </w:numPr>
                    <w:spacing w:line="360" w:lineRule="auto"/>
                    <w:ind w:left="425" w:hanging="425" w:firstLineChars="0"/>
                    <w:rPr>
                      <w:rFonts w:hint="eastAsia"/>
                      <w:lang w:val="en-US" w:eastAsia="zh-CN"/>
                    </w:rPr>
                  </w:pPr>
                  <w:r>
                    <w:rPr>
                      <w:rFonts w:hint="eastAsia"/>
                      <w:lang w:val="en-US" w:eastAsia="zh-CN"/>
                    </w:rPr>
                    <w:t>支持调用说明书时显示本院产品标识显示；</w:t>
                  </w:r>
                </w:p>
                <w:p>
                  <w:pPr>
                    <w:numPr>
                      <w:ilvl w:val="0"/>
                      <w:numId w:val="42"/>
                    </w:numPr>
                    <w:spacing w:line="360" w:lineRule="auto"/>
                    <w:ind w:left="425" w:hanging="425" w:firstLineChars="0"/>
                    <w:rPr>
                      <w:rFonts w:hint="eastAsia"/>
                      <w:lang w:val="en-US" w:eastAsia="zh-CN"/>
                    </w:rPr>
                  </w:pPr>
                  <w:r>
                    <w:rPr>
                      <w:rFonts w:hint="eastAsia"/>
                      <w:lang w:val="en-US" w:eastAsia="zh-CN"/>
                    </w:rPr>
                    <w:t>医药知识库可自行增加或修改；</w:t>
                  </w:r>
                </w:p>
                <w:p>
                  <w:pPr>
                    <w:numPr>
                      <w:ilvl w:val="0"/>
                      <w:numId w:val="42"/>
                    </w:numPr>
                    <w:spacing w:line="360" w:lineRule="auto"/>
                    <w:ind w:left="425" w:hanging="425" w:firstLineChars="0"/>
                    <w:rPr>
                      <w:rFonts w:hint="eastAsia"/>
                      <w:lang w:val="en-US" w:eastAsia="zh-CN"/>
                    </w:rPr>
                  </w:pPr>
                  <w:r>
                    <w:rPr>
                      <w:rFonts w:hint="eastAsia"/>
                      <w:lang w:val="en-US" w:eastAsia="zh-CN"/>
                    </w:rPr>
                    <w:t>医药知识库每年6次定期更新，支持说明书升级管理和查看说明书更新记录；</w:t>
                  </w:r>
                </w:p>
                <w:p>
                  <w:pPr>
                    <w:numPr>
                      <w:ilvl w:val="0"/>
                      <w:numId w:val="42"/>
                    </w:numPr>
                    <w:spacing w:line="360" w:lineRule="auto"/>
                    <w:ind w:left="425" w:hanging="425" w:firstLineChars="0"/>
                    <w:rPr>
                      <w:rFonts w:hint="eastAsia"/>
                      <w:lang w:val="en-US" w:eastAsia="zh-CN"/>
                    </w:rPr>
                  </w:pPr>
                  <w:r>
                    <w:rPr>
                      <w:rFonts w:hint="eastAsia"/>
                      <w:lang w:val="en-US" w:eastAsia="zh-CN"/>
                    </w:rPr>
                    <w:t>医药知识库支持全文检索，包含说明书全文检索；</w:t>
                  </w:r>
                </w:p>
                <w:p>
                  <w:pPr>
                    <w:numPr>
                      <w:ilvl w:val="0"/>
                      <w:numId w:val="42"/>
                    </w:numPr>
                    <w:spacing w:line="360" w:lineRule="auto"/>
                    <w:ind w:left="425" w:hanging="425" w:firstLineChars="0"/>
                    <w:rPr>
                      <w:rFonts w:hint="eastAsia"/>
                      <w:lang w:val="en-US" w:eastAsia="zh-CN"/>
                    </w:rPr>
                  </w:pPr>
                  <w:r>
                    <w:rPr>
                      <w:rFonts w:hint="eastAsia"/>
                      <w:lang w:val="en-US" w:eastAsia="zh-CN"/>
                    </w:rPr>
                    <w:t>支持药品说明书对比分析，可以下载不同厂家说明书的对比表；</w:t>
                  </w:r>
                </w:p>
                <w:p>
                  <w:pPr>
                    <w:numPr>
                      <w:ilvl w:val="0"/>
                      <w:numId w:val="42"/>
                    </w:numPr>
                    <w:spacing w:line="360" w:lineRule="auto"/>
                    <w:ind w:left="425" w:hanging="425" w:firstLineChars="0"/>
                    <w:rPr>
                      <w:rFonts w:hint="eastAsia"/>
                      <w:lang w:val="en-US" w:eastAsia="zh-CN"/>
                    </w:rPr>
                  </w:pPr>
                  <w:r>
                    <w:rPr>
                      <w:rFonts w:hint="eastAsia"/>
                      <w:lang w:val="en-US" w:eastAsia="zh-CN"/>
                    </w:rPr>
                    <w:t>提供给医生和药师临床医药公式计算功能。</w:t>
                  </w:r>
                </w:p>
                <w:p>
                  <w:pPr>
                    <w:numPr>
                      <w:ilvl w:val="1"/>
                      <w:numId w:val="20"/>
                    </w:numPr>
                    <w:bidi w:val="0"/>
                    <w:spacing w:line="36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药事质控中心</w:t>
                  </w:r>
                </w:p>
                <w:p>
                  <w:pPr>
                    <w:bidi w:val="0"/>
                    <w:spacing w:line="360" w:lineRule="auto"/>
                    <w:ind w:firstLine="440" w:firstLineChars="200"/>
                    <w:rPr>
                      <w:rFonts w:hint="eastAsia"/>
                      <w:highlight w:val="yellow"/>
                      <w:lang w:val="en-US" w:eastAsia="zh-CN"/>
                    </w:rPr>
                  </w:pPr>
                  <w:r>
                    <w:rPr>
                      <w:rFonts w:hint="eastAsia"/>
                      <w:highlight w:val="yellow"/>
                      <w:lang w:val="en-US" w:eastAsia="zh-CN"/>
                    </w:rPr>
                    <w:t>药事质控中心，是为了帮助医院药政主管实现政策要求的指标分析系统，系统根据《三级综合医院评审标准实施细则》、《处方管理办法》、《药事管理专业医疗质量控制指标》、《国家三级公立医院绩效考核指标》等相关规定的要求，提供对医院药政指标及药品使用情况的信息化统计分析。</w:t>
                  </w:r>
                </w:p>
                <w:p>
                  <w:pPr>
                    <w:bidi w:val="0"/>
                    <w:spacing w:line="360" w:lineRule="auto"/>
                    <w:ind w:firstLine="440" w:firstLineChars="200"/>
                    <w:rPr>
                      <w:rFonts w:hint="eastAsia"/>
                      <w:highlight w:val="yellow"/>
                      <w:lang w:val="en-US" w:eastAsia="zh-CN"/>
                    </w:rPr>
                  </w:pPr>
                  <w:r>
                    <w:rPr>
                      <w:rFonts w:hint="eastAsia"/>
                      <w:highlight w:val="yellow"/>
                      <w:lang w:val="en-US" w:eastAsia="zh-CN"/>
                    </w:rPr>
                    <w:t>系统应提供常用报表收藏。</w:t>
                  </w:r>
                </w:p>
                <w:p>
                  <w:pPr>
                    <w:bidi w:val="0"/>
                    <w:spacing w:line="360" w:lineRule="auto"/>
                    <w:ind w:firstLine="440" w:firstLineChars="200"/>
                    <w:rPr>
                      <w:rFonts w:hint="eastAsia"/>
                      <w:highlight w:val="yellow"/>
                      <w:lang w:val="en-US" w:eastAsia="zh-CN"/>
                    </w:rPr>
                  </w:pPr>
                  <w:r>
                    <w:rPr>
                      <w:rFonts w:hint="eastAsia"/>
                      <w:highlight w:val="yellow"/>
                      <w:lang w:val="en-US" w:eastAsia="zh-CN"/>
                    </w:rPr>
                    <w:t>系统应提供自定义显示和导出报表功能。</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上报报表分类</w:t>
                  </w:r>
                  <w:r>
                    <w:rPr>
                      <w:rFonts w:hint="eastAsia" w:ascii="宋体" w:hAnsi="宋体" w:eastAsia="宋体" w:cs="宋体"/>
                      <w:sz w:val="36"/>
                      <w:szCs w:val="36"/>
                      <w:lang w:val="en-US" w:eastAsia="zh-CN"/>
                    </w:rPr>
                    <w:tab/>
                  </w:r>
                </w:p>
                <w:p>
                  <w:pPr>
                    <w:spacing w:line="360" w:lineRule="auto"/>
                    <w:rPr>
                      <w:rFonts w:hint="eastAsia"/>
                      <w:lang w:val="en-US" w:eastAsia="zh-CN"/>
                    </w:rPr>
                  </w:pPr>
                  <w:r>
                    <w:rPr>
                      <w:rFonts w:hint="eastAsia"/>
                      <w:lang w:val="en-US" w:eastAsia="zh-CN"/>
                    </w:rPr>
                    <w:t>(1)国家三级公立医院绩效考核</w:t>
                  </w:r>
                </w:p>
                <w:p>
                  <w:pPr>
                    <w:spacing w:line="360" w:lineRule="auto"/>
                    <w:rPr>
                      <w:rFonts w:hint="eastAsia"/>
                      <w:lang w:val="en-US" w:eastAsia="zh-CN"/>
                    </w:rPr>
                  </w:pPr>
                  <w:r>
                    <w:rPr>
                      <w:rFonts w:hint="eastAsia"/>
                      <w:lang w:val="en-US" w:eastAsia="zh-CN"/>
                    </w:rPr>
                    <w:t>(2)药事管理专业医疗质量控制指标</w:t>
                  </w:r>
                </w:p>
                <w:p>
                  <w:pPr>
                    <w:spacing w:line="360" w:lineRule="auto"/>
                    <w:rPr>
                      <w:rFonts w:hint="eastAsia"/>
                      <w:lang w:val="en-US" w:eastAsia="zh-CN"/>
                    </w:rPr>
                  </w:pPr>
                  <w:r>
                    <w:rPr>
                      <w:rFonts w:hint="eastAsia"/>
                      <w:lang w:val="en-US" w:eastAsia="zh-CN"/>
                    </w:rPr>
                    <w:t>(3)国家组织药品集中采购和使用监测</w:t>
                  </w:r>
                </w:p>
                <w:p>
                  <w:pPr>
                    <w:spacing w:line="360" w:lineRule="auto"/>
                    <w:rPr>
                      <w:rFonts w:hint="eastAsia"/>
                      <w:lang w:val="en-US" w:eastAsia="zh-CN"/>
                    </w:rPr>
                  </w:pPr>
                  <w:r>
                    <w:rPr>
                      <w:rFonts w:hint="eastAsia"/>
                      <w:lang w:val="en-US" w:eastAsia="zh-CN"/>
                    </w:rPr>
                    <w:t>(4)全国抗菌药物临床应用管理</w:t>
                  </w:r>
                </w:p>
                <w:p>
                  <w:pPr>
                    <w:spacing w:line="360" w:lineRule="auto"/>
                    <w:rPr>
                      <w:rFonts w:hint="eastAsia"/>
                      <w:lang w:val="en-US" w:eastAsia="zh-CN"/>
                    </w:rPr>
                  </w:pPr>
                  <w:r>
                    <w:rPr>
                      <w:rFonts w:hint="eastAsia"/>
                      <w:lang w:val="en-US" w:eastAsia="zh-CN"/>
                    </w:rPr>
                    <w:t>(5)国家卫健委抗菌药物临床应用管理数据上报</w:t>
                  </w:r>
                </w:p>
                <w:p>
                  <w:pPr>
                    <w:spacing w:line="360" w:lineRule="auto"/>
                    <w:rPr>
                      <w:rFonts w:hint="eastAsia"/>
                      <w:lang w:val="en-US" w:eastAsia="zh-CN"/>
                    </w:rPr>
                  </w:pPr>
                  <w:r>
                    <w:rPr>
                      <w:rFonts w:hint="eastAsia"/>
                      <w:lang w:val="en-US" w:eastAsia="zh-CN"/>
                    </w:rPr>
                    <w:t>(6)全国合理用药监测系统</w:t>
                  </w:r>
                </w:p>
                <w:p>
                  <w:pPr>
                    <w:spacing w:line="360" w:lineRule="auto"/>
                    <w:rPr>
                      <w:rFonts w:hint="eastAsia"/>
                      <w:lang w:val="en-US" w:eastAsia="zh-CN"/>
                    </w:rPr>
                  </w:pPr>
                  <w:r>
                    <w:rPr>
                      <w:rFonts w:hint="eastAsia"/>
                      <w:lang w:val="en-US" w:eastAsia="zh-CN"/>
                    </w:rPr>
                    <w:t>(7)抗肿瘤药物临床应用情况调查表</w:t>
                  </w:r>
                </w:p>
                <w:p>
                  <w:pPr>
                    <w:bidi w:val="0"/>
                    <w:spacing w:line="360" w:lineRule="auto"/>
                    <w:ind w:firstLine="440" w:firstLineChars="200"/>
                    <w:rPr>
                      <w:rFonts w:hint="eastAsia"/>
                      <w:lang w:val="en-US" w:eastAsia="zh-CN"/>
                    </w:rPr>
                  </w:pPr>
                  <w:r>
                    <w:rPr>
                      <w:rFonts w:hint="eastAsia"/>
                      <w:highlight w:val="yellow"/>
                      <w:lang w:val="en-US" w:eastAsia="zh-CN"/>
                    </w:rPr>
                    <w:t>系统自动生成丰富的国家、省市、医院管理报表，提供各类药品使用指标，从多个维度进行统计分析，形成可视化数据为药事质控和绩效管理提供依据，帮助医院药学管理部门提高工作效率。</w:t>
                  </w:r>
                </w:p>
                <w:p>
                  <w:pPr>
                    <w:numPr>
                      <w:ilvl w:val="1"/>
                      <w:numId w:val="20"/>
                    </w:numPr>
                    <w:bidi w:val="0"/>
                    <w:spacing w:line="240" w:lineRule="auto"/>
                    <w:ind w:left="567" w:leftChars="0" w:hanging="567"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技术服务</w:t>
                  </w:r>
                </w:p>
                <w:p>
                  <w:pPr>
                    <w:numPr>
                      <w:ilvl w:val="2"/>
                      <w:numId w:val="20"/>
                    </w:numPr>
                    <w:bidi w:val="0"/>
                    <w:spacing w:line="24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系统架构</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软件应采用 B/S 架构模式，全院计算机授权访问，无须单台授权；审方引擎采用分布式架构及缓存技术，采用搜索引擎技术；支持 HTTP、WebService、DLL 多种接口方式，不影响HIS系统运行。</w:t>
                  </w:r>
                </w:p>
                <w:p>
                  <w:pPr>
                    <w:numPr>
                      <w:ilvl w:val="2"/>
                      <w:numId w:val="20"/>
                    </w:numPr>
                    <w:bidi w:val="0"/>
                    <w:spacing w:line="24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系统性能</w:t>
                  </w:r>
                  <w:r>
                    <w:rPr>
                      <w:rFonts w:hint="eastAsia" w:ascii="宋体" w:hAnsi="宋体" w:eastAsia="宋体" w:cs="宋体"/>
                      <w:sz w:val="36"/>
                      <w:szCs w:val="36"/>
                      <w:lang w:val="en-US" w:eastAsia="zh-CN"/>
                    </w:rPr>
                    <w:tab/>
                  </w:r>
                </w:p>
                <w:p>
                  <w:pPr>
                    <w:numPr>
                      <w:ilvl w:val="0"/>
                      <w:numId w:val="43"/>
                    </w:numPr>
                    <w:spacing w:line="360" w:lineRule="auto"/>
                    <w:ind w:left="425" w:hanging="425" w:firstLineChars="0"/>
                    <w:rPr>
                      <w:rFonts w:hint="eastAsia"/>
                      <w:lang w:val="en-US" w:eastAsia="zh-CN"/>
                    </w:rPr>
                  </w:pPr>
                  <w:r>
                    <w:rPr>
                      <w:rFonts w:hint="eastAsia"/>
                      <w:lang w:val="en-US" w:eastAsia="zh-CN"/>
                    </w:rPr>
                    <w:t>用药警示管理查询速度＞400 次/秒。</w:t>
                  </w:r>
                </w:p>
                <w:p>
                  <w:pPr>
                    <w:numPr>
                      <w:ilvl w:val="0"/>
                      <w:numId w:val="43"/>
                    </w:numPr>
                    <w:spacing w:line="360" w:lineRule="auto"/>
                    <w:ind w:left="425" w:hanging="425" w:firstLineChars="0"/>
                    <w:rPr>
                      <w:rFonts w:hint="eastAsia"/>
                      <w:lang w:val="en-US" w:eastAsia="zh-CN"/>
                    </w:rPr>
                  </w:pPr>
                  <w:r>
                    <w:rPr>
                      <w:rFonts w:hint="eastAsia"/>
                      <w:lang w:val="en-US" w:eastAsia="zh-CN"/>
                    </w:rPr>
                    <w:t>处方评估速度＞30 次/秒。</w:t>
                  </w:r>
                </w:p>
                <w:p>
                  <w:pPr>
                    <w:numPr>
                      <w:ilvl w:val="0"/>
                      <w:numId w:val="43"/>
                    </w:numPr>
                    <w:spacing w:line="360" w:lineRule="auto"/>
                    <w:ind w:left="425" w:hanging="425" w:firstLineChars="0"/>
                    <w:rPr>
                      <w:rFonts w:hint="eastAsia"/>
                      <w:lang w:val="en-US" w:eastAsia="zh-CN"/>
                    </w:rPr>
                  </w:pPr>
                  <w:r>
                    <w:rPr>
                      <w:rFonts w:hint="eastAsia"/>
                      <w:lang w:val="en-US" w:eastAsia="zh-CN"/>
                    </w:rPr>
                    <w:t>处方评估速度＞400 张/秒。</w:t>
                  </w:r>
                </w:p>
                <w:p>
                  <w:pPr>
                    <w:numPr>
                      <w:ilvl w:val="0"/>
                      <w:numId w:val="43"/>
                    </w:numPr>
                    <w:spacing w:line="360" w:lineRule="auto"/>
                    <w:ind w:left="425" w:hanging="425" w:firstLineChars="0"/>
                    <w:rPr>
                      <w:rFonts w:hint="eastAsia"/>
                      <w:lang w:val="en-US" w:eastAsia="zh-CN"/>
                    </w:rPr>
                  </w:pPr>
                  <w:r>
                    <w:rPr>
                      <w:rFonts w:hint="eastAsia"/>
                      <w:lang w:val="en-US" w:eastAsia="zh-CN"/>
                    </w:rPr>
                    <w:t>医药知识库在线查询速度＞30 次/秒。</w:t>
                  </w:r>
                </w:p>
                <w:p>
                  <w:pPr>
                    <w:numPr>
                      <w:ilvl w:val="2"/>
                      <w:numId w:val="20"/>
                    </w:numPr>
                    <w:bidi w:val="0"/>
                    <w:spacing w:line="24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权限控制</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采用RBAC权限控制模型，支持同一用户赋予多种角色权限，支持将角色权限细化到操作按钮，包括列表、查询、下载等功能分别控制权限。支持为同一用户授予多个不同角色，并且可以在使用过程中随时切换角色。</w:t>
                  </w:r>
                </w:p>
                <w:p>
                  <w:pPr>
                    <w:numPr>
                      <w:ilvl w:val="2"/>
                      <w:numId w:val="20"/>
                    </w:numPr>
                    <w:bidi w:val="0"/>
                    <w:spacing w:line="24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一体化平台</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系统提供平台一体化设计，药事的所有功能集成在我的工作台，通过工作台可以进入不同的系统，且实现在同一界面打开，避免浏览器界面多开造成的不便。</w:t>
                  </w:r>
                  <w:r>
                    <w:rPr>
                      <w:rFonts w:hint="eastAsia" w:asciiTheme="minorEastAsia" w:hAnsiTheme="minorEastAsia" w:eastAsiaTheme="minorEastAsia" w:cstheme="minorEastAsia"/>
                      <w:color w:val="auto"/>
                      <w:kern w:val="0"/>
                      <w:szCs w:val="21"/>
                      <w:highlight w:val="none"/>
                    </w:rPr>
                    <w:t>【需要提供真实产品演示】</w:t>
                  </w:r>
                </w:p>
                <w:p>
                  <w:pPr>
                    <w:numPr>
                      <w:ilvl w:val="2"/>
                      <w:numId w:val="20"/>
                    </w:numPr>
                    <w:bidi w:val="0"/>
                    <w:spacing w:line="24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实施服务</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有专业的药学（具有处方审核培训合格证书），远程实施过程中可提供详细的产品说明、操作规程、演示录屏等相关技术资料，能为医院提供及时的实施服务，解决医院在系统使用中遇到的问题。</w:t>
                  </w:r>
                </w:p>
                <w:p>
                  <w:pPr>
                    <w:numPr>
                      <w:ilvl w:val="2"/>
                      <w:numId w:val="20"/>
                    </w:numPr>
                    <w:bidi w:val="0"/>
                    <w:spacing w:line="24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售后服务</w:t>
                  </w:r>
                  <w:r>
                    <w:rPr>
                      <w:rFonts w:hint="eastAsia" w:ascii="宋体" w:hAnsi="宋体" w:eastAsia="宋体" w:cs="宋体"/>
                      <w:sz w:val="36"/>
                      <w:szCs w:val="36"/>
                      <w:lang w:val="en-US" w:eastAsia="zh-CN"/>
                    </w:rPr>
                    <w:tab/>
                  </w:r>
                </w:p>
                <w:p>
                  <w:pPr>
                    <w:spacing w:line="360" w:lineRule="auto"/>
                    <w:ind w:firstLine="440" w:firstLineChars="200"/>
                    <w:rPr>
                      <w:rFonts w:hint="eastAsia"/>
                      <w:lang w:val="en-US" w:eastAsia="zh-CN"/>
                    </w:rPr>
                  </w:pPr>
                  <w:r>
                    <w:rPr>
                      <w:rFonts w:hint="eastAsia"/>
                      <w:lang w:val="en-US" w:eastAsia="zh-CN"/>
                    </w:rPr>
                    <w:t>有专业的售后服务工程师，每月进行药学巡检和技术巡检，保障医院系统正常使用，能够提供药品数据、说明书和规则库可以实时更新，同时每年提供6次的批量更新服务。</w:t>
                  </w:r>
                </w:p>
                <w:p>
                  <w:pPr>
                    <w:numPr>
                      <w:ilvl w:val="2"/>
                      <w:numId w:val="20"/>
                    </w:numPr>
                    <w:bidi w:val="0"/>
                    <w:spacing w:line="360" w:lineRule="auto"/>
                    <w:ind w:left="709" w:leftChars="0" w:hanging="709" w:firstLineChars="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迁移服务</w:t>
                  </w:r>
                  <w:r>
                    <w:rPr>
                      <w:rFonts w:hint="eastAsia" w:ascii="宋体" w:hAnsi="宋体" w:eastAsia="宋体" w:cs="宋体"/>
                      <w:sz w:val="36"/>
                      <w:szCs w:val="36"/>
                      <w:lang w:val="en-US" w:eastAsia="zh-CN"/>
                    </w:rPr>
                    <w:tab/>
                  </w:r>
                </w:p>
                <w:p>
                  <w:pPr>
                    <w:spacing w:line="360" w:lineRule="auto"/>
                    <w:ind w:firstLine="440" w:firstLineChars="200"/>
                    <w:rPr>
                      <w:rFonts w:hint="default" w:ascii="宋体" w:hAnsi="宋体" w:eastAsia="宋体" w:cs="宋体"/>
                      <w:kern w:val="0"/>
                      <w:sz w:val="24"/>
                      <w:szCs w:val="22"/>
                      <w:lang w:val="en-US" w:eastAsia="zh-CN" w:bidi="ar"/>
                    </w:rPr>
                  </w:pPr>
                  <w:r>
                    <w:rPr>
                      <w:rFonts w:hint="eastAsia"/>
                      <w:lang w:val="en-US" w:eastAsia="zh-CN"/>
                    </w:rPr>
                    <w:t>将医院原有的合理用药数据库、规则库和个性化报表迁移到新的药事管理系统。</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宋体" w:hAnsi="宋体" w:eastAsia="宋体" w:cs="宋体"/>
                <w:b w:val="0"/>
                <w:bCs w:val="0"/>
                <w:spacing w:val="0"/>
                <w:kern w:val="0"/>
                <w:sz w:val="24"/>
                <w:szCs w:val="24"/>
                <w:lang w:val="en-US" w:eastAsia="zh-CN" w:bidi="zh-CN"/>
              </w:rPr>
            </w:pPr>
          </w:p>
        </w:tc>
      </w:tr>
    </w:tbl>
    <w:p>
      <w:pPr>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rPr>
          <w:rFonts w:hint="eastAsia" w:ascii="仿宋" w:hAnsi="仿宋" w:eastAsia="仿宋" w:cs="仿宋"/>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9"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9"/>
      <w:bookmarkStart w:id="20"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20"/>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44"/>
        </w:numPr>
        <w:spacing w:before="54" w:line="360" w:lineRule="auto"/>
        <w:ind w:left="-42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45"/>
        </w:numPr>
        <w:tabs>
          <w:tab w:val="left" w:pos="657"/>
        </w:tabs>
        <w:spacing w:before="0" w:after="0" w:line="360" w:lineRule="auto"/>
        <w:ind w:left="656" w:right="0" w:hanging="342"/>
        <w:jc w:val="left"/>
        <w:rPr>
          <w:rFonts w:hint="eastAsia" w:ascii="仿宋" w:hAnsi="仿宋" w:eastAsia="仿宋" w:cs="仿宋"/>
        </w:rPr>
      </w:pPr>
      <w:bookmarkStart w:id="21" w:name="1.适用范围"/>
      <w:bookmarkEnd w:id="21"/>
      <w:r>
        <w:rPr>
          <w:rFonts w:hint="eastAsia" w:ascii="仿宋" w:hAnsi="仿宋" w:eastAsia="仿宋" w:cs="仿宋"/>
        </w:rPr>
        <w:t>适用范围</w:t>
      </w:r>
    </w:p>
    <w:p>
      <w:pPr>
        <w:pStyle w:val="27"/>
        <w:numPr>
          <w:ilvl w:val="1"/>
          <w:numId w:val="45"/>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7"/>
        <w:numPr>
          <w:ilvl w:val="1"/>
          <w:numId w:val="45"/>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资金来源：单位自筹。</w:t>
      </w:r>
    </w:p>
    <w:p>
      <w:pPr>
        <w:pStyle w:val="9"/>
        <w:numPr>
          <w:ilvl w:val="0"/>
          <w:numId w:val="45"/>
        </w:numPr>
        <w:tabs>
          <w:tab w:val="left" w:pos="657"/>
        </w:tabs>
        <w:spacing w:before="0" w:after="0" w:line="360" w:lineRule="auto"/>
        <w:ind w:left="656" w:right="0" w:hanging="342"/>
        <w:jc w:val="left"/>
        <w:rPr>
          <w:rFonts w:hint="eastAsia" w:ascii="仿宋" w:hAnsi="仿宋" w:eastAsia="仿宋" w:cs="仿宋"/>
        </w:rPr>
      </w:pPr>
      <w:bookmarkStart w:id="22" w:name="2.定义"/>
      <w:bookmarkEnd w:id="22"/>
      <w:r>
        <w:rPr>
          <w:rFonts w:hint="eastAsia" w:ascii="仿宋" w:hAnsi="仿宋" w:eastAsia="仿宋" w:cs="仿宋"/>
        </w:rPr>
        <w:t>定义</w:t>
      </w:r>
    </w:p>
    <w:p>
      <w:pPr>
        <w:pStyle w:val="27"/>
        <w:numPr>
          <w:ilvl w:val="1"/>
          <w:numId w:val="45"/>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lang w:eastAsia="zh-CN"/>
        </w:rPr>
        <w:t>新兴县中医院</w:t>
      </w:r>
      <w:r>
        <w:rPr>
          <w:rFonts w:hint="eastAsia" w:ascii="仿宋" w:hAnsi="仿宋" w:eastAsia="仿宋" w:cs="仿宋"/>
          <w:sz w:val="21"/>
          <w:highlight w:val="none"/>
        </w:rPr>
        <w:t>。</w:t>
      </w:r>
    </w:p>
    <w:p>
      <w:pPr>
        <w:pStyle w:val="27"/>
        <w:numPr>
          <w:ilvl w:val="1"/>
          <w:numId w:val="45"/>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7"/>
        <w:numPr>
          <w:ilvl w:val="1"/>
          <w:numId w:val="45"/>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7"/>
        <w:numPr>
          <w:ilvl w:val="1"/>
          <w:numId w:val="45"/>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7"/>
        <w:numPr>
          <w:ilvl w:val="1"/>
          <w:numId w:val="45"/>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7"/>
        <w:numPr>
          <w:ilvl w:val="0"/>
          <w:numId w:val="46"/>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7"/>
        <w:numPr>
          <w:ilvl w:val="1"/>
          <w:numId w:val="45"/>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7"/>
        <w:numPr>
          <w:ilvl w:val="1"/>
          <w:numId w:val="45"/>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45"/>
        </w:numPr>
        <w:tabs>
          <w:tab w:val="left" w:pos="657"/>
        </w:tabs>
        <w:spacing w:before="3" w:after="0" w:line="360" w:lineRule="auto"/>
        <w:ind w:left="656" w:right="0" w:hanging="342"/>
        <w:jc w:val="left"/>
        <w:rPr>
          <w:rFonts w:hint="eastAsia" w:ascii="仿宋" w:hAnsi="仿宋" w:eastAsia="仿宋" w:cs="仿宋"/>
          <w:b/>
          <w:sz w:val="27"/>
        </w:rPr>
      </w:pPr>
      <w:bookmarkStart w:id="23" w:name="3.合格的货物和服务"/>
      <w:bookmarkEnd w:id="23"/>
      <w:r>
        <w:rPr>
          <w:rFonts w:hint="eastAsia" w:ascii="仿宋" w:hAnsi="仿宋" w:eastAsia="仿宋" w:cs="仿宋"/>
        </w:rPr>
        <w:t>合格的货物和服务</w:t>
      </w:r>
    </w:p>
    <w:p>
      <w:pPr>
        <w:pStyle w:val="2"/>
        <w:numPr>
          <w:ilvl w:val="0"/>
          <w:numId w:val="47"/>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7"/>
        <w:keepNext w:val="0"/>
        <w:keepLines w:val="0"/>
        <w:pageBreakBefore w:val="0"/>
        <w:widowControl w:val="0"/>
        <w:numPr>
          <w:ilvl w:val="0"/>
          <w:numId w:val="47"/>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7"/>
        <w:keepNext w:val="0"/>
        <w:keepLines w:val="0"/>
        <w:pageBreakBefore w:val="0"/>
        <w:widowControl w:val="0"/>
        <w:numPr>
          <w:ilvl w:val="0"/>
          <w:numId w:val="47"/>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7"/>
        <w:keepNext w:val="0"/>
        <w:keepLines w:val="0"/>
        <w:pageBreakBefore w:val="0"/>
        <w:widowControl w:val="0"/>
        <w:numPr>
          <w:ilvl w:val="0"/>
          <w:numId w:val="47"/>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45"/>
        </w:numPr>
        <w:tabs>
          <w:tab w:val="left" w:pos="657"/>
        </w:tabs>
        <w:spacing w:before="62" w:after="0" w:line="360" w:lineRule="auto"/>
        <w:ind w:left="656" w:right="0" w:hanging="342"/>
        <w:jc w:val="left"/>
        <w:rPr>
          <w:rFonts w:hint="eastAsia" w:ascii="仿宋" w:hAnsi="仿宋" w:eastAsia="仿宋" w:cs="仿宋"/>
        </w:rPr>
      </w:pPr>
      <w:bookmarkStart w:id="24" w:name="4.谈判费用"/>
      <w:bookmarkEnd w:id="24"/>
      <w:r>
        <w:rPr>
          <w:rFonts w:hint="eastAsia" w:ascii="仿宋" w:hAnsi="仿宋" w:eastAsia="仿宋" w:cs="仿宋"/>
        </w:rPr>
        <w:t>谈判费用</w:t>
      </w:r>
    </w:p>
    <w:p>
      <w:pPr>
        <w:pStyle w:val="27"/>
        <w:numPr>
          <w:ilvl w:val="1"/>
          <w:numId w:val="45"/>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7"/>
        <w:numPr>
          <w:ilvl w:val="1"/>
          <w:numId w:val="45"/>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3"/>
        <w:gridCol w:w="1985"/>
        <w:gridCol w:w="198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433" w:type="dxa"/>
            <mc:AlternateContent>
              <mc:Choice Requires="wpsCustomData">
                <wpsCustomData:diagonals>
                  <wpsCustomData:diagonal from="10000" to="30000">
                    <wpsCustomData:border w:val="single" w:color="000000" w:sz="4" w:space="0"/>
                  </wpsCustomData:diagonal>
                </wpsCustomData:diagonals>
              </mc:Choice>
            </mc:AlternateContent>
          </w:tcPr>
          <w:p>
            <w:pPr>
              <w:pStyle w:val="28"/>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8"/>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8"/>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8"/>
              <w:keepNext w:val="0"/>
              <w:keepLines w:val="0"/>
              <w:pageBreakBefore w:val="0"/>
              <w:widowControl w:val="0"/>
              <w:kinsoku/>
              <w:wordWrap/>
              <w:overflowPunct/>
              <w:topLinePunct w:val="0"/>
              <w:autoSpaceDE w:val="0"/>
              <w:autoSpaceDN w:val="0"/>
              <w:bidi w:val="0"/>
              <w:adjustRightInd/>
              <w:snapToGrid w:val="0"/>
              <w:spacing w:before="3" w:line="240" w:lineRule="auto"/>
              <w:ind w:left="0" w:right="0" w:firstLine="960" w:firstLineChars="400"/>
              <w:jc w:val="both"/>
              <w:textAlignment w:val="auto"/>
              <mc:AlternateContent>
                <mc:Choice Requires="wpsCustomData">
                  <wpsCustomData:diagonalParaType/>
                </mc:Choice>
              </mc:AlternateContent>
              <w:rPr>
                <w:spacing w:val="0"/>
                <w:sz w:val="24"/>
                <w:szCs w:val="24"/>
              </w:rPr>
            </w:pPr>
            <w:r>
              <w:rPr>
                <w:spacing w:val="0"/>
                <w:sz w:val="24"/>
                <w:szCs w:val="24"/>
              </w:rPr>
              <w:t>中标金额（万元）</w:t>
            </w:r>
          </w:p>
          <w:p>
            <w:pPr>
              <w:pStyle w:val="28"/>
              <w:keepNext w:val="0"/>
              <w:keepLines w:val="0"/>
              <w:pageBreakBefore w:val="0"/>
              <w:widowControl w:val="0"/>
              <w:kinsoku/>
              <w:wordWrap/>
              <w:overflowPunct/>
              <w:topLinePunct w:val="0"/>
              <w:autoSpaceDE w:val="0"/>
              <w:autoSpaceDN w:val="0"/>
              <w:bidi w:val="0"/>
              <w:adjustRightInd/>
              <w:snapToGrid/>
              <w:spacing w:before="3" w:line="480" w:lineRule="auto"/>
              <w:ind w:left="0" w:right="0"/>
              <w:jc w:val="both"/>
              <w:textAlignment w:val="auto"/>
              <w:rPr>
                <w:spacing w:val="0"/>
                <w:sz w:val="24"/>
                <w:szCs w:val="24"/>
              </w:rPr>
            </w:pPr>
            <w:r>
              <w:rPr>
                <w:spacing w:val="0"/>
                <w:sz w:val="24"/>
                <w:szCs w:val="24"/>
              </w:rPr>
              <w:t>服务类型费率</w:t>
            </w:r>
          </w:p>
        </w:tc>
        <w:tc>
          <w:tcPr>
            <w:tcW w:w="1985" w:type="dxa"/>
          </w:tcPr>
          <w:p>
            <w:pPr>
              <w:pStyle w:val="28"/>
              <w:keepNext w:val="0"/>
              <w:keepLines w:val="0"/>
              <w:pageBreakBefore w:val="0"/>
              <w:kinsoku/>
              <w:overflowPunct/>
              <w:bidi w:val="0"/>
              <w:adjustRightInd/>
              <w:snapToGrid/>
              <w:spacing w:before="202" w:line="480" w:lineRule="auto"/>
              <w:ind w:left="347" w:right="0"/>
              <w:jc w:val="center"/>
              <w:textAlignment w:val="auto"/>
              <w:rPr>
                <w:rFonts w:hint="eastAsia" w:eastAsia="宋体"/>
                <w:spacing w:val="0"/>
                <w:sz w:val="24"/>
                <w:szCs w:val="24"/>
                <w:lang w:eastAsia="zh-CN"/>
              </w:rPr>
            </w:pPr>
            <w:r>
              <w:rPr>
                <w:spacing w:val="0"/>
                <w:sz w:val="24"/>
                <w:szCs w:val="24"/>
              </w:rPr>
              <w:t>货物</w:t>
            </w:r>
            <w:r>
              <w:rPr>
                <w:rFonts w:hint="eastAsia"/>
                <w:spacing w:val="0"/>
                <w:sz w:val="24"/>
                <w:szCs w:val="24"/>
                <w:lang w:eastAsia="zh-CN"/>
              </w:rPr>
              <w:t>询价</w:t>
            </w:r>
          </w:p>
        </w:tc>
        <w:tc>
          <w:tcPr>
            <w:tcW w:w="1985" w:type="dxa"/>
          </w:tcPr>
          <w:p>
            <w:pPr>
              <w:pStyle w:val="28"/>
              <w:keepNext w:val="0"/>
              <w:keepLines w:val="0"/>
              <w:pageBreakBefore w:val="0"/>
              <w:kinsoku/>
              <w:overflowPunct/>
              <w:bidi w:val="0"/>
              <w:adjustRightInd/>
              <w:snapToGrid/>
              <w:spacing w:before="202" w:line="480" w:lineRule="auto"/>
              <w:ind w:left="344" w:right="0"/>
              <w:jc w:val="center"/>
              <w:textAlignment w:val="auto"/>
              <w:rPr>
                <w:rFonts w:hint="eastAsia" w:eastAsia="宋体"/>
                <w:spacing w:val="0"/>
                <w:sz w:val="24"/>
                <w:szCs w:val="24"/>
                <w:lang w:eastAsia="zh-CN"/>
              </w:rPr>
            </w:pPr>
            <w:r>
              <w:rPr>
                <w:spacing w:val="0"/>
                <w:sz w:val="24"/>
                <w:szCs w:val="24"/>
              </w:rPr>
              <w:t>服务</w:t>
            </w:r>
            <w:r>
              <w:rPr>
                <w:rFonts w:hint="eastAsia"/>
                <w:spacing w:val="0"/>
                <w:sz w:val="24"/>
                <w:szCs w:val="24"/>
                <w:lang w:eastAsia="zh-CN"/>
              </w:rPr>
              <w:t>询价</w:t>
            </w:r>
          </w:p>
        </w:tc>
        <w:tc>
          <w:tcPr>
            <w:tcW w:w="1985" w:type="dxa"/>
          </w:tcPr>
          <w:p>
            <w:pPr>
              <w:pStyle w:val="28"/>
              <w:keepNext w:val="0"/>
              <w:keepLines w:val="0"/>
              <w:pageBreakBefore w:val="0"/>
              <w:kinsoku/>
              <w:overflowPunct/>
              <w:bidi w:val="0"/>
              <w:adjustRightInd/>
              <w:snapToGrid/>
              <w:spacing w:before="202" w:line="480" w:lineRule="auto"/>
              <w:ind w:left="344" w:right="0"/>
              <w:jc w:val="center"/>
              <w:textAlignment w:val="auto"/>
              <w:rPr>
                <w:rFonts w:hint="eastAsia" w:eastAsia="宋体"/>
                <w:spacing w:val="0"/>
                <w:sz w:val="24"/>
                <w:szCs w:val="24"/>
                <w:lang w:eastAsia="zh-CN"/>
              </w:rPr>
            </w:pPr>
            <w:r>
              <w:rPr>
                <w:spacing w:val="0"/>
                <w:sz w:val="24"/>
                <w:szCs w:val="24"/>
              </w:rPr>
              <w:t>工程</w:t>
            </w:r>
            <w:r>
              <w:rPr>
                <w:rFonts w:hint="eastAsia"/>
                <w:spacing w:val="0"/>
                <w:sz w:val="24"/>
                <w:szCs w:val="24"/>
                <w:lang w:eastAsia="zh-CN"/>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433"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4" w:line="360" w:lineRule="auto"/>
              <w:ind w:left="0" w:right="0"/>
              <w:jc w:val="center"/>
              <w:textAlignment w:val="auto"/>
              <w:rPr>
                <w:spacing w:val="0"/>
                <w:sz w:val="24"/>
                <w:szCs w:val="24"/>
              </w:rPr>
            </w:pPr>
            <w:r>
              <w:rPr>
                <w:spacing w:val="0"/>
                <w:sz w:val="24"/>
                <w:szCs w:val="24"/>
              </w:rPr>
              <w:t>100以下</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433"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100-500</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1.1%</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0.8%</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433"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500-1000</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0.8%</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0.45%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433"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1000-5000</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0.25%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0.35%</w:t>
            </w:r>
          </w:p>
        </w:tc>
      </w:tr>
    </w:tbl>
    <w:p>
      <w:pPr>
        <w:numPr>
          <w:ilvl w:val="0"/>
          <w:numId w:val="44"/>
        </w:numPr>
        <w:spacing w:before="54" w:line="360" w:lineRule="auto"/>
        <w:ind w:left="-42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45"/>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25" w:name="5.谈判文件的构成"/>
      <w:bookmarkEnd w:id="25"/>
      <w:r>
        <w:rPr>
          <w:rFonts w:hint="eastAsia" w:ascii="仿宋" w:hAnsi="仿宋" w:eastAsia="仿宋" w:cs="仿宋"/>
        </w:rPr>
        <w:t>谈判文件的构成</w:t>
      </w:r>
    </w:p>
    <w:p>
      <w:pPr>
        <w:pStyle w:val="27"/>
        <w:keepNext w:val="0"/>
        <w:keepLines w:val="0"/>
        <w:pageBreakBefore w:val="0"/>
        <w:widowControl w:val="0"/>
        <w:numPr>
          <w:ilvl w:val="1"/>
          <w:numId w:val="45"/>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7"/>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7"/>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7"/>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7"/>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7"/>
        <w:keepNext w:val="0"/>
        <w:keepLines w:val="0"/>
        <w:pageBreakBefore w:val="0"/>
        <w:widowControl w:val="0"/>
        <w:numPr>
          <w:ilvl w:val="0"/>
          <w:numId w:val="48"/>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7"/>
        <w:keepNext w:val="0"/>
        <w:keepLines w:val="0"/>
        <w:pageBreakBefore w:val="0"/>
        <w:widowControl w:val="0"/>
        <w:numPr>
          <w:ilvl w:val="1"/>
          <w:numId w:val="45"/>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49"/>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6" w:name="三、竞争性谈判响应文件的编制"/>
      <w:bookmarkEnd w:id="26"/>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45"/>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7" w:name="6.竞争性谈判响应文件编制基本要求"/>
      <w:bookmarkEnd w:id="27"/>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7"/>
        <w:keepNext w:val="0"/>
        <w:keepLines w:val="0"/>
        <w:pageBreakBefore w:val="0"/>
        <w:widowControl w:val="0"/>
        <w:numPr>
          <w:ilvl w:val="1"/>
          <w:numId w:val="45"/>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2"/>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7"/>
        <w:keepNext w:val="0"/>
        <w:keepLines w:val="0"/>
        <w:pageBreakBefore w:val="0"/>
        <w:widowControl w:val="0"/>
        <w:numPr>
          <w:ilvl w:val="1"/>
          <w:numId w:val="45"/>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7"/>
        <w:keepNext w:val="0"/>
        <w:keepLines w:val="0"/>
        <w:pageBreakBefore w:val="0"/>
        <w:widowControl w:val="0"/>
        <w:numPr>
          <w:ilvl w:val="1"/>
          <w:numId w:val="45"/>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45"/>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8" w:name="7.计量单位"/>
      <w:bookmarkEnd w:id="28"/>
      <w:r>
        <w:rPr>
          <w:rFonts w:hint="eastAsia" w:ascii="仿宋" w:hAnsi="仿宋" w:eastAsia="仿宋" w:cs="仿宋"/>
        </w:rPr>
        <w:t>计量单位</w:t>
      </w:r>
    </w:p>
    <w:p>
      <w:pPr>
        <w:pStyle w:val="27"/>
        <w:keepNext w:val="0"/>
        <w:keepLines w:val="0"/>
        <w:pageBreakBefore w:val="0"/>
        <w:widowControl w:val="0"/>
        <w:numPr>
          <w:ilvl w:val="1"/>
          <w:numId w:val="45"/>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5"/>
        <w:keepNext w:val="0"/>
        <w:keepLines w:val="0"/>
        <w:pageBreakBefore w:val="0"/>
        <w:widowControl w:val="0"/>
        <w:numPr>
          <w:ilvl w:val="0"/>
          <w:numId w:val="49"/>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9" w:name="四、谈判报价要求"/>
      <w:bookmarkEnd w:id="29"/>
      <w:r>
        <w:rPr>
          <w:rFonts w:hint="eastAsia" w:ascii="仿宋" w:hAnsi="仿宋" w:eastAsia="仿宋" w:cs="仿宋"/>
          <w:b/>
          <w:bCs w:val="0"/>
          <w:sz w:val="32"/>
          <w:szCs w:val="22"/>
          <w:lang w:val="zh-CN" w:eastAsia="zh-CN" w:bidi="zh-CN"/>
        </w:rPr>
        <w:t>谈判报价要求</w:t>
      </w:r>
    </w:p>
    <w:p>
      <w:pPr>
        <w:pStyle w:val="27"/>
        <w:keepNext w:val="0"/>
        <w:keepLines w:val="0"/>
        <w:pageBreakBefore w:val="0"/>
        <w:numPr>
          <w:ilvl w:val="0"/>
          <w:numId w:val="45"/>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7"/>
        <w:keepNext w:val="0"/>
        <w:keepLines w:val="0"/>
        <w:pageBreakBefore w:val="0"/>
        <w:numPr>
          <w:ilvl w:val="0"/>
          <w:numId w:val="45"/>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7"/>
        <w:keepNext w:val="0"/>
        <w:keepLines w:val="0"/>
        <w:pageBreakBefore w:val="0"/>
        <w:numPr>
          <w:ilvl w:val="0"/>
          <w:numId w:val="45"/>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50"/>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30" w:name="六、谈判响应文件的份数、签署、封装、递交和谈判有效期"/>
      <w:bookmarkEnd w:id="30"/>
      <w:bookmarkStart w:id="31" w:name="五、谈判保证金"/>
      <w:bookmarkEnd w:id="31"/>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7"/>
        <w:keepNext w:val="0"/>
        <w:keepLines w:val="0"/>
        <w:pageBreakBefore w:val="0"/>
        <w:numPr>
          <w:ilvl w:val="0"/>
          <w:numId w:val="45"/>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32" w:name="11.竞争性谈判响应文件的签署、份数和封装"/>
      <w:bookmarkEnd w:id="32"/>
      <w:r>
        <w:rPr>
          <w:rFonts w:hint="eastAsia" w:ascii="仿宋" w:hAnsi="仿宋" w:eastAsia="仿宋" w:cs="仿宋"/>
          <w:b/>
          <w:sz w:val="21"/>
        </w:rPr>
        <w:t>竞争性谈判响应文件的签署、份数和封装</w:t>
      </w:r>
    </w:p>
    <w:p>
      <w:pPr>
        <w:pStyle w:val="27"/>
        <w:keepNext w:val="0"/>
        <w:keepLines w:val="0"/>
        <w:pageBreakBefore w:val="0"/>
        <w:numPr>
          <w:ilvl w:val="1"/>
          <w:numId w:val="45"/>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7"/>
        <w:keepNext w:val="0"/>
        <w:keepLines w:val="0"/>
        <w:pageBreakBefore w:val="0"/>
        <w:numPr>
          <w:ilvl w:val="1"/>
          <w:numId w:val="45"/>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7"/>
        <w:keepNext w:val="0"/>
        <w:keepLines w:val="0"/>
        <w:pageBreakBefore w:val="0"/>
        <w:numPr>
          <w:ilvl w:val="1"/>
          <w:numId w:val="45"/>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7"/>
        <w:numPr>
          <w:ilvl w:val="1"/>
          <w:numId w:val="45"/>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2"/>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4"/>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项目名称：</w:t>
            </w:r>
            <w:r>
              <w:rPr>
                <w:rFonts w:hint="eastAsia" w:ascii="仿宋" w:hAnsi="仿宋" w:eastAsia="仿宋" w:cs="仿宋"/>
                <w:b w:val="0"/>
                <w:bCs/>
                <w:color w:val="000000"/>
                <w:highlight w:val="none"/>
                <w:lang w:val="en-US" w:eastAsia="zh-CN"/>
              </w:rPr>
              <w:t>新兴县中医院药事管理系统采购项目</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项目编号：GDZZ-2023-06-01</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2"/>
        <w:spacing w:line="360" w:lineRule="auto"/>
        <w:rPr>
          <w:rFonts w:hint="eastAsia" w:ascii="仿宋" w:hAnsi="仿宋" w:eastAsia="仿宋" w:cs="仿宋"/>
          <w:sz w:val="20"/>
        </w:rPr>
      </w:pPr>
    </w:p>
    <w:p>
      <w:pPr>
        <w:pStyle w:val="27"/>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7"/>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7"/>
        <w:numPr>
          <w:ilvl w:val="1"/>
          <w:numId w:val="45"/>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45"/>
        </w:numPr>
        <w:tabs>
          <w:tab w:val="left" w:pos="657"/>
        </w:tabs>
        <w:spacing w:before="0" w:after="0" w:line="360" w:lineRule="auto"/>
        <w:ind w:left="656" w:right="0" w:hanging="342"/>
        <w:jc w:val="left"/>
        <w:rPr>
          <w:rFonts w:hint="eastAsia" w:ascii="仿宋" w:hAnsi="仿宋" w:eastAsia="仿宋" w:cs="仿宋"/>
        </w:rPr>
      </w:pPr>
      <w:bookmarkStart w:id="33" w:name="12.竞争性谈判响应文件的递交及谈判有效期"/>
      <w:bookmarkEnd w:id="33"/>
      <w:r>
        <w:rPr>
          <w:rFonts w:hint="eastAsia" w:ascii="仿宋" w:hAnsi="仿宋" w:eastAsia="仿宋" w:cs="仿宋"/>
        </w:rPr>
        <w:t>竞争性谈判响应文件的递交及谈判有效期</w:t>
      </w:r>
    </w:p>
    <w:p>
      <w:pPr>
        <w:pStyle w:val="27"/>
        <w:numPr>
          <w:ilvl w:val="1"/>
          <w:numId w:val="45"/>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7"/>
        <w:numPr>
          <w:ilvl w:val="1"/>
          <w:numId w:val="45"/>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7"/>
        <w:numPr>
          <w:ilvl w:val="1"/>
          <w:numId w:val="45"/>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7"/>
        <w:numPr>
          <w:ilvl w:val="1"/>
          <w:numId w:val="45"/>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7"/>
        <w:numPr>
          <w:ilvl w:val="1"/>
          <w:numId w:val="45"/>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51"/>
        </w:numPr>
        <w:spacing w:before="165" w:line="360" w:lineRule="auto"/>
        <w:ind w:left="0" w:leftChars="0" w:firstLine="420" w:firstLineChars="0"/>
        <w:rPr>
          <w:rFonts w:hint="eastAsia" w:ascii="仿宋" w:hAnsi="仿宋" w:eastAsia="仿宋" w:cs="仿宋"/>
        </w:rPr>
      </w:pPr>
      <w:bookmarkStart w:id="34" w:name="七、谈判的步骤"/>
      <w:bookmarkEnd w:id="34"/>
      <w:r>
        <w:rPr>
          <w:rFonts w:hint="eastAsia" w:ascii="仿宋" w:hAnsi="仿宋" w:eastAsia="仿宋" w:cs="仿宋"/>
          <w:b/>
          <w:bCs w:val="0"/>
          <w:sz w:val="32"/>
          <w:szCs w:val="22"/>
          <w:lang w:val="zh-CN" w:eastAsia="zh-CN" w:bidi="zh-CN"/>
        </w:rPr>
        <w:t>谈判的步骤</w:t>
      </w:r>
    </w:p>
    <w:p>
      <w:pPr>
        <w:pStyle w:val="9"/>
        <w:numPr>
          <w:ilvl w:val="0"/>
          <w:numId w:val="45"/>
        </w:numPr>
        <w:tabs>
          <w:tab w:val="left" w:pos="657"/>
        </w:tabs>
        <w:spacing w:before="0" w:after="0" w:line="360" w:lineRule="auto"/>
        <w:ind w:left="656" w:right="0" w:hanging="342"/>
        <w:jc w:val="left"/>
        <w:rPr>
          <w:rFonts w:hint="eastAsia" w:ascii="仿宋" w:hAnsi="仿宋" w:eastAsia="仿宋" w:cs="仿宋"/>
        </w:rPr>
      </w:pPr>
      <w:bookmarkStart w:id="35" w:name="13.谈判文件的澄清、补充和修改"/>
      <w:bookmarkEnd w:id="35"/>
      <w:r>
        <w:rPr>
          <w:rFonts w:hint="eastAsia" w:ascii="仿宋" w:hAnsi="仿宋" w:eastAsia="仿宋" w:cs="仿宋"/>
        </w:rPr>
        <w:t>谈判文件的澄清、补充和修改</w:t>
      </w:r>
    </w:p>
    <w:p>
      <w:pPr>
        <w:pStyle w:val="27"/>
        <w:numPr>
          <w:ilvl w:val="1"/>
          <w:numId w:val="45"/>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7"/>
        <w:numPr>
          <w:ilvl w:val="1"/>
          <w:numId w:val="45"/>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2"/>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7"/>
        <w:numPr>
          <w:ilvl w:val="1"/>
          <w:numId w:val="45"/>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7"/>
        <w:numPr>
          <w:ilvl w:val="1"/>
          <w:numId w:val="45"/>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45"/>
        </w:numPr>
        <w:tabs>
          <w:tab w:val="left" w:pos="657"/>
        </w:tabs>
        <w:spacing w:before="2" w:after="0" w:line="360" w:lineRule="auto"/>
        <w:ind w:left="656" w:right="0" w:hanging="342"/>
        <w:jc w:val="left"/>
        <w:rPr>
          <w:rFonts w:hint="eastAsia" w:ascii="仿宋" w:hAnsi="仿宋" w:eastAsia="仿宋" w:cs="仿宋"/>
        </w:rPr>
      </w:pPr>
      <w:bookmarkStart w:id="36" w:name="14.谈判评审"/>
      <w:bookmarkEnd w:id="36"/>
      <w:r>
        <w:rPr>
          <w:rFonts w:hint="eastAsia" w:ascii="仿宋" w:hAnsi="仿宋" w:eastAsia="仿宋" w:cs="仿宋"/>
        </w:rPr>
        <w:t>谈判评审</w:t>
      </w:r>
    </w:p>
    <w:p>
      <w:pPr>
        <w:pStyle w:val="27"/>
        <w:numPr>
          <w:ilvl w:val="1"/>
          <w:numId w:val="45"/>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7"/>
        <w:keepNext w:val="0"/>
        <w:keepLines w:val="0"/>
        <w:pageBreakBefore w:val="0"/>
        <w:widowControl w:val="0"/>
        <w:numPr>
          <w:ilvl w:val="0"/>
          <w:numId w:val="52"/>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7"/>
        <w:keepNext w:val="0"/>
        <w:keepLines w:val="0"/>
        <w:pageBreakBefore w:val="0"/>
        <w:widowControl w:val="0"/>
        <w:numPr>
          <w:ilvl w:val="0"/>
          <w:numId w:val="52"/>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7"/>
        <w:keepNext w:val="0"/>
        <w:keepLines w:val="0"/>
        <w:pageBreakBefore w:val="0"/>
        <w:widowControl w:val="0"/>
        <w:numPr>
          <w:ilvl w:val="0"/>
          <w:numId w:val="5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7"/>
        <w:keepNext w:val="0"/>
        <w:keepLines w:val="0"/>
        <w:pageBreakBefore w:val="0"/>
        <w:widowControl w:val="0"/>
        <w:numPr>
          <w:ilvl w:val="0"/>
          <w:numId w:val="5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7"/>
        <w:keepNext w:val="0"/>
        <w:keepLines w:val="0"/>
        <w:pageBreakBefore w:val="0"/>
        <w:widowControl w:val="0"/>
        <w:numPr>
          <w:ilvl w:val="0"/>
          <w:numId w:val="5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7" w:name="14.2谈判须知"/>
      <w:bookmarkEnd w:id="37"/>
      <w:r>
        <w:rPr>
          <w:rFonts w:hint="eastAsia" w:ascii="仿宋" w:hAnsi="仿宋" w:eastAsia="仿宋" w:cs="仿宋"/>
        </w:rPr>
        <w:t>谈判须知</w:t>
      </w:r>
    </w:p>
    <w:p>
      <w:pPr>
        <w:pStyle w:val="27"/>
        <w:keepNext w:val="0"/>
        <w:keepLines w:val="0"/>
        <w:pageBreakBefore w:val="0"/>
        <w:widowControl w:val="0"/>
        <w:numPr>
          <w:ilvl w:val="0"/>
          <w:numId w:val="5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7"/>
        <w:keepNext w:val="0"/>
        <w:keepLines w:val="0"/>
        <w:pageBreakBefore w:val="0"/>
        <w:widowControl w:val="0"/>
        <w:numPr>
          <w:ilvl w:val="0"/>
          <w:numId w:val="5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7"/>
        <w:keepNext w:val="0"/>
        <w:keepLines w:val="0"/>
        <w:pageBreakBefore w:val="0"/>
        <w:widowControl w:val="0"/>
        <w:numPr>
          <w:ilvl w:val="0"/>
          <w:numId w:val="53"/>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7"/>
        <w:keepNext w:val="0"/>
        <w:keepLines w:val="0"/>
        <w:pageBreakBefore w:val="0"/>
        <w:widowControl w:val="0"/>
        <w:numPr>
          <w:ilvl w:val="0"/>
          <w:numId w:val="53"/>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8" w:name="14.3谈判程序"/>
      <w:bookmarkEnd w:id="38"/>
      <w:r>
        <w:rPr>
          <w:rFonts w:hint="eastAsia" w:ascii="仿宋" w:hAnsi="仿宋" w:eastAsia="仿宋" w:cs="仿宋"/>
        </w:rPr>
        <w:t>谈判程序</w:t>
      </w:r>
    </w:p>
    <w:p>
      <w:pPr>
        <w:pStyle w:val="27"/>
        <w:keepNext w:val="0"/>
        <w:keepLines w:val="0"/>
        <w:pageBreakBefore w:val="0"/>
        <w:widowControl w:val="0"/>
        <w:numPr>
          <w:ilvl w:val="0"/>
          <w:numId w:val="54"/>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7"/>
        <w:keepNext w:val="0"/>
        <w:keepLines w:val="0"/>
        <w:pageBreakBefore w:val="0"/>
        <w:widowControl w:val="0"/>
        <w:numPr>
          <w:ilvl w:val="0"/>
          <w:numId w:val="54"/>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7"/>
        <w:keepNext w:val="0"/>
        <w:keepLines w:val="0"/>
        <w:pageBreakBefore w:val="0"/>
        <w:widowControl w:val="0"/>
        <w:numPr>
          <w:ilvl w:val="0"/>
          <w:numId w:val="54"/>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7"/>
        <w:keepNext w:val="0"/>
        <w:keepLines w:val="0"/>
        <w:pageBreakBefore w:val="0"/>
        <w:widowControl w:val="0"/>
        <w:numPr>
          <w:ilvl w:val="0"/>
          <w:numId w:val="54"/>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7"/>
        <w:keepNext w:val="0"/>
        <w:keepLines w:val="0"/>
        <w:pageBreakBefore w:val="0"/>
        <w:widowControl w:val="0"/>
        <w:numPr>
          <w:ilvl w:val="0"/>
          <w:numId w:val="54"/>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7"/>
        <w:keepNext w:val="0"/>
        <w:keepLines w:val="0"/>
        <w:pageBreakBefore w:val="0"/>
        <w:widowControl w:val="0"/>
        <w:numPr>
          <w:ilvl w:val="0"/>
          <w:numId w:val="5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spacing w:val="0"/>
          <w:w w:val="100"/>
        </w:rPr>
        <w:t>对小型或微型企业投标的扶持（监狱企业视同小型、微型企业，监狱企业参加政府采购</w:t>
      </w:r>
      <w:r>
        <w:rPr>
          <w:rFonts w:hint="eastAsia" w:ascii="仿宋" w:hAnsi="仿宋" w:eastAsia="仿宋" w:cs="仿宋"/>
          <w:spacing w:val="0"/>
          <w:w w:val="100"/>
          <w:sz w:val="21"/>
          <w:szCs w:val="22"/>
          <w:lang w:val="zh-CN" w:eastAsia="zh-CN" w:bidi="zh-CN"/>
        </w:rPr>
        <w:t>活动</w:t>
      </w:r>
      <w:r>
        <w:rPr>
          <w:rFonts w:hint="eastAsia" w:ascii="仿宋" w:hAnsi="仿宋" w:eastAsia="仿宋" w:cs="仿宋"/>
          <w:spacing w:val="0"/>
          <w:w w:val="100"/>
          <w:lang w:val="zh-CN" w:eastAsia="zh-CN"/>
        </w:rPr>
        <w:t>时，应当提供由省级以上监狱管理局、戒毒管理局（含新疆生产建设兵团）出具的属于监狱</w:t>
      </w:r>
      <w:r>
        <w:rPr>
          <w:rFonts w:hint="eastAsia" w:ascii="仿宋" w:hAnsi="仿宋" w:eastAsia="仿宋" w:cs="仿宋"/>
          <w:spacing w:val="0"/>
          <w:w w:val="100"/>
        </w:rPr>
        <w:t>企业的证明文件，否则评审时不能享受相应的价格扣除</w:t>
      </w:r>
      <w:r>
        <w:rPr>
          <w:rFonts w:hint="eastAsia" w:ascii="仿宋" w:hAnsi="仿宋" w:eastAsia="仿宋" w:cs="仿宋"/>
          <w:spacing w:val="0"/>
          <w:w w:val="100"/>
          <w:lang w:eastAsia="zh-CN"/>
        </w:rPr>
        <w:t>，</w:t>
      </w:r>
      <w:r>
        <w:rPr>
          <w:rFonts w:hint="eastAsia" w:ascii="仿宋" w:hAnsi="仿宋" w:eastAsia="仿宋" w:cs="仿宋"/>
          <w:spacing w:val="0"/>
          <w:w w:val="100"/>
          <w:sz w:val="21"/>
          <w:szCs w:val="22"/>
          <w:lang w:val="en-US" w:eastAsia="zh-CN" w:bidi="zh-CN"/>
        </w:rPr>
        <w:t>供应商同时为小型、微型企业和监狱企业的，评审中只享受一次价格扣除。不重复进行价格扣除。</w:t>
      </w:r>
      <w:r>
        <w:rPr>
          <w:rFonts w:hint="eastAsia" w:ascii="仿宋" w:hAnsi="仿宋" w:eastAsia="仿宋" w:cs="仿宋"/>
          <w:spacing w:val="0"/>
          <w:w w:val="100"/>
        </w:rPr>
        <w:t>）</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pacing w:val="0"/>
          <w:w w:val="100"/>
          <w:sz w:val="21"/>
          <w:lang w:val="zh-CN" w:eastAsia="zh-CN"/>
        </w:rPr>
        <w:t>根据财政部、工业和信息化部印发的《政府采购促进中小企业发展管理办法》（财库﹝2020﹞46号）</w:t>
      </w:r>
      <w:r>
        <w:rPr>
          <w:rFonts w:hint="eastAsia" w:ascii="仿宋" w:hAnsi="仿宋" w:eastAsia="仿宋" w:cs="仿宋"/>
          <w:spacing w:val="0"/>
          <w:w w:val="100"/>
          <w:sz w:val="21"/>
          <w:lang w:val="en-US" w:eastAsia="zh-CN"/>
        </w:rPr>
        <w:t>以及云浮市财政局</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lang w:val="en-US" w:eastAsia="zh-CN"/>
        </w:rPr>
        <w:t>转发财政部关于进一步加大政府采购支持</w:t>
      </w:r>
      <w:r>
        <w:rPr>
          <w:rFonts w:hint="default" w:ascii="仿宋" w:hAnsi="仿宋" w:eastAsia="仿宋" w:cs="仿宋"/>
          <w:spacing w:val="0"/>
          <w:w w:val="100"/>
          <w:sz w:val="21"/>
          <w:lang w:val="en-US" w:eastAsia="zh-CN"/>
        </w:rPr>
        <w:t>中小企业力度的通知</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lang w:val="en-US" w:eastAsia="zh-CN"/>
        </w:rPr>
        <w:t>云财采购〔2022〕10号）</w:t>
      </w:r>
      <w:r>
        <w:rPr>
          <w:rFonts w:hint="eastAsia" w:ascii="仿宋" w:hAnsi="仿宋" w:eastAsia="仿宋" w:cs="仿宋"/>
          <w:spacing w:val="0"/>
          <w:w w:val="100"/>
          <w:sz w:val="21"/>
          <w:lang w:val="zh-CN" w:eastAsia="zh-CN"/>
        </w:rPr>
        <w:t>的规定，对小型和微型企业的</w:t>
      </w:r>
      <w:r>
        <w:rPr>
          <w:rFonts w:hint="eastAsia" w:ascii="仿宋" w:hAnsi="仿宋" w:eastAsia="仿宋" w:cs="仿宋"/>
          <w:spacing w:val="0"/>
          <w:w w:val="100"/>
          <w:sz w:val="21"/>
          <w:lang w:val="en-US" w:eastAsia="zh-CN"/>
        </w:rPr>
        <w:t>报价</w:t>
      </w:r>
      <w:r>
        <w:rPr>
          <w:rFonts w:hint="eastAsia" w:ascii="仿宋" w:hAnsi="仿宋" w:eastAsia="仿宋" w:cs="仿宋"/>
          <w:spacing w:val="0"/>
          <w:w w:val="100"/>
          <w:sz w:val="21"/>
          <w:lang w:val="zh-CN" w:eastAsia="zh-CN"/>
        </w:rPr>
        <w:t>给予</w:t>
      </w:r>
      <w:r>
        <w:rPr>
          <w:rFonts w:hint="eastAsia" w:ascii="仿宋" w:hAnsi="仿宋" w:eastAsia="仿宋" w:cs="仿宋"/>
          <w:spacing w:val="0"/>
          <w:w w:val="100"/>
          <w:sz w:val="21"/>
          <w:lang w:val="en-US" w:eastAsia="zh-CN"/>
        </w:rPr>
        <w:t>10</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szCs w:val="21"/>
          <w:lang w:val="en-US" w:eastAsia="zh-CN" w:bidi="zh-CN"/>
        </w:rPr>
        <w:t>(工程项目为5%)</w:t>
      </w:r>
      <w:r>
        <w:rPr>
          <w:rFonts w:hint="eastAsia" w:ascii="仿宋" w:hAnsi="仿宋" w:eastAsia="仿宋" w:cs="仿宋"/>
          <w:spacing w:val="0"/>
          <w:w w:val="100"/>
          <w:sz w:val="21"/>
          <w:lang w:val="zh-CN" w:eastAsia="zh-CN"/>
        </w:rPr>
        <w:t>的扣除，用扣除后的价格参与评审。</w:t>
      </w:r>
      <w:r>
        <w:rPr>
          <w:rFonts w:hint="eastAsia" w:ascii="仿宋" w:hAnsi="仿宋" w:eastAsia="仿宋" w:cs="仿宋"/>
          <w:spacing w:val="0"/>
          <w:w w:val="100"/>
          <w:sz w:val="21"/>
          <w:lang w:val="en-US" w:eastAsia="zh-CN"/>
        </w:rPr>
        <w:t>即，评审价=小微企业报价核实价</w:t>
      </w:r>
      <w:r>
        <w:rPr>
          <w:rFonts w:hint="default" w:ascii="仿宋" w:hAnsi="仿宋" w:eastAsia="仿宋" w:cs="仿宋"/>
          <w:spacing w:val="0"/>
          <w:w w:val="100"/>
          <w:sz w:val="21"/>
          <w:lang w:val="en-US" w:eastAsia="zh-CN"/>
        </w:rPr>
        <w:t>×</w:t>
      </w:r>
      <w:r>
        <w:rPr>
          <w:rFonts w:hint="eastAsia" w:ascii="仿宋" w:hAnsi="仿宋" w:eastAsia="仿宋" w:cs="仿宋"/>
          <w:spacing w:val="0"/>
          <w:w w:val="100"/>
          <w:sz w:val="21"/>
          <w:lang w:val="en-US" w:eastAsia="zh-CN"/>
        </w:rPr>
        <w:t>（1-10%）</w:t>
      </w:r>
      <w:r>
        <w:rPr>
          <w:rFonts w:hint="eastAsia" w:ascii="仿宋" w:hAnsi="仿宋" w:eastAsia="仿宋" w:cs="仿宋"/>
          <w:spacing w:val="0"/>
          <w:w w:val="100"/>
          <w:sz w:val="21"/>
          <w:lang w:val="zh-CN" w:eastAsia="zh-CN"/>
        </w:rPr>
        <w:t>（价格扣除比例或者价格分加分比例对小型企业和微型企业同等对待，不作区分）；</w:t>
      </w:r>
      <w:r>
        <w:rPr>
          <w:rFonts w:hint="eastAsia" w:ascii="仿宋" w:hAnsi="仿宋" w:eastAsia="仿宋" w:cs="仿宋"/>
          <w:b/>
          <w:spacing w:val="0"/>
          <w:w w:val="100"/>
          <w:sz w:val="21"/>
        </w:rPr>
        <w:t>（本项目不适用）</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pacing w:val="0"/>
          <w:w w:val="100"/>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pacing w:val="0"/>
          <w:w w:val="100"/>
          <w:sz w:val="21"/>
          <w:szCs w:val="21"/>
          <w:lang w:val="en-US" w:eastAsia="zh-CN" w:bidi="zh-CN"/>
        </w:rPr>
        <w:t>3%(工程项目2%)</w:t>
      </w:r>
      <w:r>
        <w:rPr>
          <w:rFonts w:hint="eastAsia" w:ascii="仿宋" w:hAnsi="仿宋" w:eastAsia="仿宋" w:cs="仿宋"/>
          <w:spacing w:val="0"/>
          <w:w w:val="100"/>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pacing w:val="0"/>
          <w:w w:val="100"/>
          <w:sz w:val="21"/>
          <w:szCs w:val="21"/>
          <w:lang w:val="en-US" w:eastAsia="zh-CN" w:bidi="zh-CN"/>
        </w:rPr>
        <w:t>2</w:t>
      </w:r>
      <w:r>
        <w:rPr>
          <w:rFonts w:hint="eastAsia" w:ascii="仿宋" w:hAnsi="仿宋" w:eastAsia="仿宋" w:cs="仿宋"/>
          <w:spacing w:val="0"/>
          <w:w w:val="100"/>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pacing w:val="0"/>
          <w:w w:val="100"/>
          <w:sz w:val="21"/>
        </w:rPr>
        <w:t>（本项目不适用）</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spacing w:val="0"/>
          <w:w w:val="100"/>
          <w:sz w:val="21"/>
          <w:szCs w:val="21"/>
          <w:lang w:val="en-US" w:eastAsia="zh-CN" w:bidi="zh-CN"/>
        </w:rPr>
        <w:t>本项目采购标的对应的中小企业划分标准所属行业</w:t>
      </w:r>
      <w:r>
        <w:rPr>
          <w:rFonts w:hint="eastAsia" w:ascii="仿宋" w:hAnsi="仿宋" w:eastAsia="仿宋" w:cs="仿宋"/>
          <w:sz w:val="21"/>
          <w:highlight w:val="none"/>
          <w:lang w:val="en-US" w:eastAsia="zh-CN"/>
        </w:rPr>
        <w:t>为</w:t>
      </w:r>
      <w:r>
        <w:rPr>
          <w:rFonts w:hint="eastAsia" w:ascii="仿宋" w:hAnsi="仿宋" w:eastAsia="仿宋" w:cs="仿宋"/>
          <w:b/>
          <w:bCs/>
          <w:sz w:val="21"/>
          <w:highlight w:val="none"/>
          <w:lang w:val="en-US" w:eastAsia="zh-CN"/>
        </w:rPr>
        <w:t>软件和信息技术服务业</w:t>
      </w:r>
      <w:r>
        <w:rPr>
          <w:rFonts w:hint="eastAsia" w:ascii="仿宋" w:hAnsi="仿宋" w:eastAsia="仿宋" w:cs="仿宋"/>
          <w:sz w:val="21"/>
          <w:highlight w:val="none"/>
          <w:lang w:val="en-US" w:eastAsia="zh-CN"/>
        </w:rPr>
        <w:t>；</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7"/>
        <w:keepNext w:val="0"/>
        <w:keepLines w:val="0"/>
        <w:pageBreakBefore w:val="0"/>
        <w:widowControl w:val="0"/>
        <w:numPr>
          <w:ilvl w:val="1"/>
          <w:numId w:val="5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7"/>
        <w:keepNext w:val="0"/>
        <w:keepLines w:val="0"/>
        <w:pageBreakBefore w:val="0"/>
        <w:widowControl w:val="0"/>
        <w:numPr>
          <w:ilvl w:val="0"/>
          <w:numId w:val="55"/>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7"/>
        <w:keepNext w:val="0"/>
        <w:keepLines w:val="0"/>
        <w:pageBreakBefore w:val="0"/>
        <w:widowControl w:val="0"/>
        <w:numPr>
          <w:ilvl w:val="0"/>
          <w:numId w:val="55"/>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7"/>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7"/>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7"/>
        <w:keepNext w:val="0"/>
        <w:keepLines w:val="0"/>
        <w:pageBreakBefore w:val="0"/>
        <w:widowControl w:val="0"/>
        <w:numPr>
          <w:ilvl w:val="0"/>
          <w:numId w:val="56"/>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7"/>
        <w:keepNext w:val="0"/>
        <w:keepLines w:val="0"/>
        <w:pageBreakBefore w:val="0"/>
        <w:widowControl w:val="0"/>
        <w:numPr>
          <w:ilvl w:val="0"/>
          <w:numId w:val="56"/>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7"/>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57"/>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八、确定成交供应商办法"/>
      <w:bookmarkEnd w:id="39"/>
      <w:r>
        <w:rPr>
          <w:rFonts w:hint="eastAsia" w:ascii="仿宋" w:hAnsi="仿宋" w:eastAsia="仿宋" w:cs="仿宋"/>
        </w:rPr>
        <w:t>确定成交供应商办法</w:t>
      </w:r>
    </w:p>
    <w:p>
      <w:pPr>
        <w:pStyle w:val="9"/>
        <w:keepNext w:val="0"/>
        <w:keepLines w:val="0"/>
        <w:pageBreakBefore w:val="0"/>
        <w:widowControl w:val="0"/>
        <w:numPr>
          <w:ilvl w:val="0"/>
          <w:numId w:val="45"/>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40" w:name="15.确定成交供应商"/>
      <w:bookmarkEnd w:id="40"/>
      <w:r>
        <w:rPr>
          <w:rFonts w:hint="eastAsia" w:ascii="仿宋" w:hAnsi="仿宋" w:eastAsia="仿宋" w:cs="仿宋"/>
          <w:highlight w:val="none"/>
        </w:rPr>
        <w:t>确定成交供应商</w:t>
      </w:r>
    </w:p>
    <w:p>
      <w:pPr>
        <w:pStyle w:val="27"/>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7"/>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7"/>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58"/>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41" w:name="九、质疑与投诉"/>
      <w:bookmarkEnd w:id="41"/>
      <w:r>
        <w:rPr>
          <w:rFonts w:hint="eastAsia" w:ascii="仿宋" w:hAnsi="仿宋" w:eastAsia="仿宋" w:cs="仿宋"/>
        </w:rPr>
        <w:t>质疑与投诉</w:t>
      </w:r>
    </w:p>
    <w:p>
      <w:pPr>
        <w:pStyle w:val="9"/>
        <w:keepNext w:val="0"/>
        <w:keepLines w:val="0"/>
        <w:pageBreakBefore w:val="0"/>
        <w:widowControl w:val="0"/>
        <w:numPr>
          <w:ilvl w:val="0"/>
          <w:numId w:val="45"/>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42" w:name="16.响应供应商对评审结果有质疑或投诉的，可依法向采购代理机构或采购人书面提出，"/>
      <w:bookmarkEnd w:id="42"/>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7"/>
        <w:keepNext w:val="0"/>
        <w:keepLines w:val="0"/>
        <w:pageBreakBefore w:val="0"/>
        <w:widowControl w:val="0"/>
        <w:numPr>
          <w:ilvl w:val="1"/>
          <w:numId w:val="4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7"/>
        <w:keepNext w:val="0"/>
        <w:keepLines w:val="0"/>
        <w:pageBreakBefore w:val="0"/>
        <w:widowControl w:val="0"/>
        <w:numPr>
          <w:ilvl w:val="2"/>
          <w:numId w:val="45"/>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7"/>
        <w:keepNext w:val="0"/>
        <w:keepLines w:val="0"/>
        <w:pageBreakBefore w:val="0"/>
        <w:widowControl w:val="0"/>
        <w:numPr>
          <w:ilvl w:val="2"/>
          <w:numId w:val="45"/>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7"/>
        <w:keepNext w:val="0"/>
        <w:keepLines w:val="0"/>
        <w:pageBreakBefore w:val="0"/>
        <w:widowControl w:val="0"/>
        <w:numPr>
          <w:ilvl w:val="2"/>
          <w:numId w:val="45"/>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7"/>
        <w:keepNext w:val="0"/>
        <w:keepLines w:val="0"/>
        <w:pageBreakBefore w:val="0"/>
        <w:widowControl w:val="0"/>
        <w:numPr>
          <w:ilvl w:val="1"/>
          <w:numId w:val="45"/>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7"/>
        <w:keepNext w:val="0"/>
        <w:keepLines w:val="0"/>
        <w:pageBreakBefore w:val="0"/>
        <w:widowControl w:val="0"/>
        <w:numPr>
          <w:ilvl w:val="1"/>
          <w:numId w:val="45"/>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0"/>
                <w:rFonts w:hint="eastAsia" w:ascii="仿宋" w:hAnsi="仿宋" w:eastAsia="仿宋" w:cs="仿宋"/>
                <w:u w:val="none"/>
                <w:lang w:val="en-US" w:eastAsia="zh-CN"/>
              </w:rPr>
              <w:t>事实</w:t>
            </w:r>
            <w:r>
              <w:rPr>
                <w:rStyle w:val="30"/>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45"/>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43" w:name="16.5质疑函应当署名。质疑供应商为自然人的，应当由本人签字；质疑供应商为法人或"/>
      <w:bookmarkEnd w:id="43"/>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7"/>
        <w:keepNext w:val="0"/>
        <w:keepLines w:val="0"/>
        <w:pageBreakBefore w:val="0"/>
        <w:widowControl w:val="0"/>
        <w:numPr>
          <w:ilvl w:val="1"/>
          <w:numId w:val="45"/>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45"/>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44" w:name="16.7质疑文件提交方式：由自然人本人或法定代表人或者主要负责人携带书面原件及身"/>
      <w:bookmarkEnd w:id="44"/>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7"/>
        <w:keepNext w:val="0"/>
        <w:keepLines w:val="0"/>
        <w:pageBreakBefore w:val="0"/>
        <w:widowControl w:val="0"/>
        <w:numPr>
          <w:ilvl w:val="1"/>
          <w:numId w:val="45"/>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7"/>
        <w:keepNext w:val="0"/>
        <w:keepLines w:val="0"/>
        <w:pageBreakBefore w:val="0"/>
        <w:widowControl w:val="0"/>
        <w:numPr>
          <w:ilvl w:val="1"/>
          <w:numId w:val="45"/>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7"/>
        <w:keepNext w:val="0"/>
        <w:keepLines w:val="0"/>
        <w:pageBreakBefore w:val="0"/>
        <w:widowControl w:val="0"/>
        <w:numPr>
          <w:ilvl w:val="1"/>
          <w:numId w:val="45"/>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7"/>
        <w:keepNext w:val="0"/>
        <w:keepLines w:val="0"/>
        <w:pageBreakBefore w:val="0"/>
        <w:widowControl w:val="0"/>
        <w:numPr>
          <w:ilvl w:val="1"/>
          <w:numId w:val="45"/>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新兴县新城镇升平路55号翔顺筠州花园二区第27幢1层3号商铺</w:t>
      </w:r>
      <w:r>
        <w:rPr>
          <w:rFonts w:hint="eastAsia" w:ascii="仿宋" w:hAnsi="仿宋" w:eastAsia="仿宋" w:cs="仿宋"/>
          <w:sz w:val="21"/>
        </w:rPr>
        <w:t>。</w:t>
      </w:r>
    </w:p>
    <w:p>
      <w:pPr>
        <w:pStyle w:val="27"/>
        <w:keepNext w:val="0"/>
        <w:keepLines w:val="0"/>
        <w:pageBreakBefore w:val="0"/>
        <w:widowControl w:val="0"/>
        <w:numPr>
          <w:ilvl w:val="1"/>
          <w:numId w:val="45"/>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59"/>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7"/>
        <w:keepNext w:val="0"/>
        <w:keepLines w:val="0"/>
        <w:pageBreakBefore w:val="0"/>
        <w:widowControl w:val="0"/>
        <w:numPr>
          <w:ilvl w:val="1"/>
          <w:numId w:val="59"/>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7"/>
        <w:keepNext w:val="0"/>
        <w:keepLines w:val="0"/>
        <w:pageBreakBefore w:val="0"/>
        <w:widowControl w:val="0"/>
        <w:numPr>
          <w:ilvl w:val="1"/>
          <w:numId w:val="59"/>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5"/>
        <w:keepNext w:val="0"/>
        <w:keepLines w:val="0"/>
        <w:pageBreakBefore w:val="0"/>
        <w:widowControl w:val="0"/>
        <w:numPr>
          <w:ilvl w:val="0"/>
          <w:numId w:val="60"/>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45" w:name="十、签订合同"/>
      <w:bookmarkEnd w:id="45"/>
      <w:r>
        <w:rPr>
          <w:rFonts w:hint="eastAsia" w:ascii="仿宋" w:hAnsi="仿宋" w:eastAsia="仿宋" w:cs="仿宋"/>
        </w:rPr>
        <w:t>签订合同</w:t>
      </w:r>
    </w:p>
    <w:p>
      <w:pPr>
        <w:pStyle w:val="9"/>
        <w:keepNext w:val="0"/>
        <w:keepLines w:val="0"/>
        <w:pageBreakBefore w:val="0"/>
        <w:widowControl w:val="0"/>
        <w:numPr>
          <w:ilvl w:val="0"/>
          <w:numId w:val="59"/>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6" w:name="19.签订合同"/>
      <w:bookmarkEnd w:id="46"/>
      <w:bookmarkStart w:id="47" w:name="19.签订合同"/>
      <w:bookmarkEnd w:id="47"/>
      <w:r>
        <w:rPr>
          <w:rFonts w:hint="eastAsia" w:ascii="仿宋" w:hAnsi="仿宋" w:eastAsia="仿宋" w:cs="仿宋"/>
        </w:rPr>
        <w:t>签订合同</w:t>
      </w:r>
    </w:p>
    <w:p>
      <w:pPr>
        <w:pStyle w:val="2"/>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7"/>
        <w:keepNext w:val="0"/>
        <w:keepLines w:val="0"/>
        <w:pageBreakBefore w:val="0"/>
        <w:widowControl w:val="0"/>
        <w:numPr>
          <w:ilvl w:val="0"/>
          <w:numId w:val="61"/>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7"/>
        <w:keepNext w:val="0"/>
        <w:keepLines w:val="0"/>
        <w:pageBreakBefore w:val="0"/>
        <w:widowControl w:val="0"/>
        <w:numPr>
          <w:ilvl w:val="0"/>
          <w:numId w:val="61"/>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7"/>
        <w:keepNext w:val="0"/>
        <w:keepLines w:val="0"/>
        <w:pageBreakBefore w:val="0"/>
        <w:widowControl w:val="0"/>
        <w:numPr>
          <w:ilvl w:val="0"/>
          <w:numId w:val="62"/>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7"/>
        <w:keepNext w:val="0"/>
        <w:keepLines w:val="0"/>
        <w:pageBreakBefore w:val="0"/>
        <w:widowControl w:val="0"/>
        <w:numPr>
          <w:ilvl w:val="0"/>
          <w:numId w:val="62"/>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7"/>
        <w:keepNext w:val="0"/>
        <w:keepLines w:val="0"/>
        <w:pageBreakBefore w:val="0"/>
        <w:widowControl w:val="0"/>
        <w:numPr>
          <w:ilvl w:val="0"/>
          <w:numId w:val="62"/>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7"/>
        <w:keepNext w:val="0"/>
        <w:keepLines w:val="0"/>
        <w:pageBreakBefore w:val="0"/>
        <w:widowControl w:val="0"/>
        <w:numPr>
          <w:ilvl w:val="0"/>
          <w:numId w:val="62"/>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7"/>
        <w:keepNext w:val="0"/>
        <w:keepLines w:val="0"/>
        <w:pageBreakBefore w:val="0"/>
        <w:widowControl w:val="0"/>
        <w:numPr>
          <w:ilvl w:val="0"/>
          <w:numId w:val="61"/>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7"/>
        <w:keepNext w:val="0"/>
        <w:keepLines w:val="0"/>
        <w:pageBreakBefore w:val="0"/>
        <w:widowControl w:val="0"/>
        <w:numPr>
          <w:ilvl w:val="0"/>
          <w:numId w:val="61"/>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7"/>
        <w:keepNext w:val="0"/>
        <w:keepLines w:val="0"/>
        <w:pageBreakBefore w:val="0"/>
        <w:widowControl w:val="0"/>
        <w:numPr>
          <w:ilvl w:val="0"/>
          <w:numId w:val="61"/>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7"/>
        <w:keepNext w:val="0"/>
        <w:keepLines w:val="0"/>
        <w:pageBreakBefore w:val="0"/>
        <w:widowControl w:val="0"/>
        <w:numPr>
          <w:ilvl w:val="0"/>
          <w:numId w:val="63"/>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7"/>
        <w:keepNext w:val="0"/>
        <w:keepLines w:val="0"/>
        <w:pageBreakBefore w:val="0"/>
        <w:widowControl w:val="0"/>
        <w:numPr>
          <w:ilvl w:val="0"/>
          <w:numId w:val="63"/>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64"/>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8" w:name="十一、适用法律"/>
      <w:bookmarkEnd w:id="48"/>
      <w:r>
        <w:rPr>
          <w:rFonts w:hint="eastAsia" w:ascii="仿宋" w:hAnsi="仿宋" w:eastAsia="仿宋" w:cs="仿宋"/>
        </w:rPr>
        <w:t>适用法律</w:t>
      </w:r>
    </w:p>
    <w:p>
      <w:pPr>
        <w:pStyle w:val="27"/>
        <w:keepNext w:val="0"/>
        <w:keepLines w:val="0"/>
        <w:pageBreakBefore w:val="0"/>
        <w:widowControl w:val="0"/>
        <w:numPr>
          <w:ilvl w:val="0"/>
          <w:numId w:val="59"/>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pacing w:val="0"/>
          <w:w w:val="100"/>
          <w:sz w:val="21"/>
        </w:rPr>
        <w:t>需要落实的政府采购政策：</w:t>
      </w:r>
      <w:r>
        <w:rPr>
          <w:rFonts w:hint="eastAsia" w:ascii="仿宋" w:hAnsi="仿宋" w:eastAsia="仿宋" w:cs="仿宋"/>
          <w:color w:val="000000"/>
          <w:spacing w:val="0"/>
          <w:w w:val="100"/>
          <w:kern w:val="0"/>
          <w:sz w:val="21"/>
          <w:szCs w:val="21"/>
          <w:highlight w:val="none"/>
          <w:lang w:val="en-US" w:eastAsia="zh-CN" w:bidi="ar-SA"/>
        </w:rPr>
        <w:t>《节能产品政府采购实施意见》（财库〔2004〕185号）</w:t>
      </w:r>
      <w:r>
        <w:rPr>
          <w:rFonts w:hint="eastAsia" w:ascii="仿宋" w:hAnsi="仿宋" w:eastAsia="仿宋" w:cs="仿宋"/>
          <w:spacing w:val="0"/>
          <w:w w:val="100"/>
          <w:sz w:val="21"/>
        </w:rPr>
        <w:t>、</w:t>
      </w:r>
      <w:r>
        <w:rPr>
          <w:rFonts w:hint="eastAsia" w:ascii="仿宋" w:hAnsi="仿宋" w:eastAsia="仿宋" w:cs="仿宋"/>
          <w:color w:val="000000"/>
          <w:spacing w:val="0"/>
          <w:w w:val="100"/>
          <w:kern w:val="0"/>
          <w:sz w:val="21"/>
          <w:szCs w:val="21"/>
          <w:highlight w:val="none"/>
          <w:lang w:val="en-US" w:eastAsia="zh-CN" w:bidi="ar-SA"/>
        </w:rPr>
        <w:t>《关于环境标志产品政府采购实施的意见》（财库〔2006〕90号）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《关于促进残疾人就业政府采购政策的通知》（财库〔2017〕141号）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《关于印发节能产品政府采购品目清单的通知》（财库〔2019〕19号）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spacing w:val="0"/>
          <w:w w:val="100"/>
        </w:rPr>
        <w:t>。</w:t>
      </w:r>
    </w:p>
    <w:p>
      <w:pPr>
        <w:pStyle w:val="27"/>
        <w:keepNext w:val="0"/>
        <w:keepLines w:val="0"/>
        <w:pageBreakBefore w:val="0"/>
        <w:widowControl w:val="0"/>
        <w:numPr>
          <w:ilvl w:val="0"/>
          <w:numId w:val="59"/>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59"/>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9" w:name="22.采购文件的解释权"/>
      <w:bookmarkEnd w:id="49"/>
      <w:bookmarkStart w:id="50" w:name="22.采购文件的解释权"/>
      <w:bookmarkEnd w:id="50"/>
      <w:r>
        <w:rPr>
          <w:rFonts w:hint="eastAsia" w:ascii="仿宋" w:hAnsi="仿宋" w:eastAsia="仿宋" w:cs="仿宋"/>
        </w:rPr>
        <w:t>采购文件的解释权</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pacing w:val="0"/>
          <w:w w:val="100"/>
          <w:sz w:val="21"/>
          <w:szCs w:val="22"/>
          <w:highlight w:val="none"/>
          <w:lang w:val="zh-CN" w:eastAsia="zh-CN" w:bidi="zh-CN"/>
        </w:rPr>
      </w:pPr>
      <w:bookmarkStart w:id="51" w:name="附表一《资格性审查表》"/>
      <w:bookmarkEnd w:id="51"/>
      <w:r>
        <w:rPr>
          <w:rFonts w:hint="eastAsia" w:ascii="仿宋" w:hAnsi="仿宋" w:eastAsia="仿宋" w:cs="仿宋"/>
          <w:b/>
          <w:bCs/>
          <w:spacing w:val="0"/>
          <w:w w:val="100"/>
          <w:sz w:val="21"/>
          <w:szCs w:val="22"/>
          <w:highlight w:val="none"/>
          <w:lang w:val="zh-CN" w:eastAsia="zh-CN" w:bidi="zh-CN"/>
        </w:rPr>
        <w:t>附表一《资格性</w:t>
      </w:r>
      <w:r>
        <w:rPr>
          <w:rFonts w:hint="eastAsia" w:ascii="仿宋" w:hAnsi="仿宋" w:eastAsia="仿宋" w:cs="仿宋"/>
          <w:b/>
          <w:spacing w:val="0"/>
          <w:w w:val="100"/>
          <w:sz w:val="21"/>
          <w:highlight w:val="none"/>
        </w:rPr>
        <w:t>评审表</w:t>
      </w:r>
      <w:r>
        <w:rPr>
          <w:rFonts w:hint="eastAsia" w:ascii="仿宋" w:hAnsi="仿宋" w:eastAsia="仿宋" w:cs="仿宋"/>
          <w:b/>
          <w:bCs/>
          <w:spacing w:val="0"/>
          <w:w w:val="100"/>
          <w:sz w:val="21"/>
          <w:szCs w:val="22"/>
          <w:highlight w:val="none"/>
          <w:lang w:val="zh-CN" w:eastAsia="zh-CN" w:bidi="zh-CN"/>
        </w:rPr>
        <w:t>》</w:t>
      </w:r>
    </w:p>
    <w:tbl>
      <w:tblPr>
        <w:tblStyle w:val="22"/>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28"/>
              <w:spacing w:before="172" w:line="360" w:lineRule="auto"/>
              <w:ind w:left="414" w:right="40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2"/>
                <w:szCs w:val="24"/>
                <w:highlight w:val="none"/>
              </w:rPr>
              <w:t>序号</w:t>
            </w:r>
          </w:p>
        </w:tc>
        <w:tc>
          <w:tcPr>
            <w:tcW w:w="8167" w:type="dxa"/>
            <w:vAlign w:val="center"/>
          </w:tcPr>
          <w:p>
            <w:pPr>
              <w:pStyle w:val="28"/>
              <w:spacing w:before="172" w:line="360" w:lineRule="auto"/>
              <w:ind w:left="3424" w:right="3419"/>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pacing w:val="0"/>
                <w:w w:val="100"/>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本项目为专门面向中小企业采购的项目，响应供应商须符合</w:t>
            </w:r>
            <w:r>
              <w:rPr>
                <w:rFonts w:hint="eastAsia" w:ascii="仿宋" w:hAnsi="仿宋" w:eastAsia="仿宋" w:cs="仿宋"/>
                <w:b/>
                <w:bCs w:val="0"/>
                <w:sz w:val="21"/>
                <w:szCs w:val="21"/>
                <w:highlight w:val="none"/>
                <w:lang w:val="en-US" w:eastAsia="zh-CN" w:bidi="zh-CN"/>
              </w:rPr>
              <w:t>软件和信息技术服务业</w:t>
            </w:r>
            <w:r>
              <w:rPr>
                <w:rFonts w:hint="eastAsia" w:ascii="仿宋" w:hAnsi="仿宋" w:eastAsia="仿宋" w:cs="仿宋"/>
                <w:b w:val="0"/>
                <w:bCs/>
                <w:color w:val="000000"/>
                <w:kern w:val="28"/>
                <w:sz w:val="21"/>
                <w:szCs w:val="20"/>
                <w:highlight w:val="none"/>
                <w:lang w:val="en-US" w:eastAsia="zh-CN" w:bidi="ar-SA"/>
              </w:rPr>
              <w:t>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3</w:t>
            </w:r>
          </w:p>
        </w:tc>
        <w:tc>
          <w:tcPr>
            <w:tcW w:w="8167" w:type="dxa"/>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spacing w:val="0"/>
                <w:w w:val="100"/>
                <w:sz w:val="21"/>
                <w:szCs w:val="21"/>
                <w:lang w:val="en-US" w:eastAsia="zh-CN"/>
              </w:rPr>
            </w:pPr>
            <w:r>
              <w:rPr>
                <w:rFonts w:hint="eastAsia" w:ascii="仿宋" w:hAnsi="仿宋" w:eastAsia="仿宋" w:cs="仿宋"/>
                <w:spacing w:val="0"/>
                <w:w w:val="100"/>
                <w:kern w:val="0"/>
                <w:sz w:val="21"/>
                <w:szCs w:val="21"/>
                <w:lang w:val="en-US" w:eastAsia="zh-CN" w:bidi="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4</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highlight w:val="none"/>
              </w:rPr>
            </w:pPr>
            <w:r>
              <w:rPr>
                <w:rFonts w:hint="eastAsia" w:ascii="仿宋" w:hAnsi="仿宋" w:eastAsia="仿宋" w:cs="仿宋"/>
                <w:b w:val="0"/>
                <w:bCs/>
                <w:color w:val="000000"/>
                <w:kern w:val="28"/>
                <w:sz w:val="21"/>
                <w:szCs w:val="20"/>
                <w:highlight w:val="none"/>
                <w:lang w:val="en-US" w:eastAsia="zh-CN" w:bidi="ar-SA"/>
              </w:rPr>
              <w:t>响应供应商必须是在中华人民共和国境内注册的独立法人或其他组织，具有从事本项目的技术服务能力；</w:t>
            </w:r>
            <w:r>
              <w:rPr>
                <w:rFonts w:hint="eastAsia" w:ascii="仿宋" w:hAnsi="仿宋" w:eastAsia="仿宋" w:cs="仿宋"/>
                <w:spacing w:val="0"/>
                <w:w w:val="100"/>
                <w:sz w:val="21"/>
                <w:szCs w:val="21"/>
                <w:lang w:val="en-US" w:eastAsia="zh-CN"/>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5</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spacing w:val="0"/>
                <w:w w:val="1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w w:val="100"/>
                <w:sz w:val="21"/>
                <w:szCs w:val="21"/>
                <w:lang w:val="en-US" w:eastAsia="zh-CN"/>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6</w:t>
            </w:r>
          </w:p>
        </w:tc>
        <w:tc>
          <w:tcPr>
            <w:tcW w:w="8167" w:type="dxa"/>
            <w:vAlign w:val="center"/>
          </w:tcPr>
          <w:p>
            <w:pPr>
              <w:pStyle w:val="2"/>
              <w:numPr>
                <w:ilvl w:val="0"/>
                <w:numId w:val="0"/>
              </w:numPr>
              <w:spacing w:line="360" w:lineRule="auto"/>
              <w:ind w:leftChars="0" w:right="0" w:rightChars="0"/>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本项目不接受联合体投标，不允许响应供应商对本采购项目进行分包和转包；</w:t>
            </w:r>
            <w:r>
              <w:rPr>
                <w:rFonts w:hint="eastAsia" w:ascii="仿宋" w:hAnsi="仿宋" w:eastAsia="仿宋" w:cs="仿宋"/>
                <w:spacing w:val="0"/>
                <w:w w:val="100"/>
                <w:sz w:val="21"/>
                <w:szCs w:val="21"/>
                <w:lang w:val="en-US" w:eastAsia="zh-CN"/>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7</w:t>
            </w:r>
          </w:p>
        </w:tc>
        <w:tc>
          <w:tcPr>
            <w:tcW w:w="8167" w:type="dxa"/>
            <w:vAlign w:val="center"/>
          </w:tcPr>
          <w:p>
            <w:pPr>
              <w:pStyle w:val="2"/>
              <w:numPr>
                <w:ilvl w:val="0"/>
                <w:numId w:val="0"/>
              </w:numPr>
              <w:spacing w:line="360" w:lineRule="auto"/>
              <w:ind w:leftChars="0" w:right="0" w:rightChars="0"/>
              <w:rPr>
                <w:rFonts w:hint="eastAsia" w:ascii="仿宋" w:hAnsi="仿宋" w:eastAsia="仿宋" w:cs="仿宋"/>
                <w:b w:val="0"/>
                <w:bCs/>
                <w:color w:val="000000"/>
                <w:spacing w:val="0"/>
                <w:w w:val="100"/>
                <w:kern w:val="28"/>
                <w:sz w:val="21"/>
                <w:szCs w:val="21"/>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响应供应商须对全部内容进行响应，不得分拆；</w:t>
            </w:r>
            <w:r>
              <w:rPr>
                <w:rFonts w:hint="eastAsia" w:ascii="仿宋" w:hAnsi="仿宋" w:eastAsia="仿宋" w:cs="仿宋"/>
                <w:spacing w:val="0"/>
                <w:w w:val="100"/>
                <w:sz w:val="21"/>
                <w:szCs w:val="21"/>
                <w:lang w:val="en-US" w:eastAsia="zh-CN"/>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8</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按规定获取本项目采购文件的。</w:t>
            </w:r>
            <w:r>
              <w:rPr>
                <w:rFonts w:hint="eastAsia" w:ascii="仿宋" w:hAnsi="仿宋" w:eastAsia="仿宋" w:cs="仿宋"/>
                <w:spacing w:val="0"/>
                <w:w w:val="100"/>
                <w:sz w:val="21"/>
                <w:szCs w:val="21"/>
                <w:lang w:val="en-US" w:eastAsia="zh-CN"/>
              </w:rPr>
              <w:t>【提供承诺函】</w:t>
            </w:r>
          </w:p>
        </w:tc>
      </w:tr>
    </w:tbl>
    <w:p>
      <w:pPr>
        <w:pStyle w:val="2"/>
        <w:spacing w:line="360" w:lineRule="auto"/>
        <w:ind w:left="100"/>
        <w:rPr>
          <w:rFonts w:hint="eastAsia" w:ascii="仿宋" w:hAnsi="仿宋" w:eastAsia="仿宋" w:cs="仿宋"/>
          <w:spacing w:val="0"/>
          <w:w w:val="100"/>
          <w:sz w:val="22"/>
          <w:szCs w:val="22"/>
          <w:highlight w:val="none"/>
          <w:lang w:val="zh-CN" w:eastAsia="zh-CN" w:bidi="zh-CN"/>
        </w:rPr>
      </w:pPr>
    </w:p>
    <w:p>
      <w:pPr>
        <w:pStyle w:val="2"/>
        <w:spacing w:line="360" w:lineRule="auto"/>
        <w:ind w:left="100"/>
        <w:rPr>
          <w:rFonts w:hint="eastAsia" w:ascii="仿宋" w:hAnsi="仿宋" w:eastAsia="仿宋" w:cs="仿宋"/>
          <w:spacing w:val="0"/>
          <w:w w:val="100"/>
          <w:sz w:val="22"/>
          <w:szCs w:val="22"/>
          <w:highlight w:val="none"/>
          <w:lang w:val="zh-CN" w:eastAsia="zh-CN" w:bidi="zh-CN"/>
        </w:rPr>
      </w:pPr>
      <w:r>
        <w:rPr>
          <w:rFonts w:hint="eastAsia" w:ascii="仿宋" w:hAnsi="仿宋" w:eastAsia="仿宋" w:cs="仿宋"/>
          <w:spacing w:val="0"/>
          <w:w w:val="100"/>
          <w:sz w:val="22"/>
          <w:szCs w:val="22"/>
          <w:highlight w:val="none"/>
          <w:lang w:val="zh-CN" w:eastAsia="zh-CN" w:bidi="zh-CN"/>
        </w:rPr>
        <w:t>注：1、</w:t>
      </w:r>
      <w:r>
        <w:rPr>
          <w:rFonts w:hint="eastAsia" w:ascii="仿宋" w:hAnsi="仿宋" w:eastAsia="仿宋" w:cs="仿宋"/>
          <w:spacing w:val="0"/>
          <w:w w:val="100"/>
          <w:sz w:val="22"/>
          <w:szCs w:val="22"/>
          <w:highlight w:val="none"/>
          <w:lang w:val="en-US" w:eastAsia="zh-CN" w:bidi="zh-CN"/>
        </w:rPr>
        <w:t>响应</w:t>
      </w:r>
      <w:r>
        <w:rPr>
          <w:rFonts w:hint="eastAsia" w:ascii="仿宋" w:hAnsi="仿宋" w:eastAsia="仿宋" w:cs="仿宋"/>
          <w:spacing w:val="0"/>
          <w:w w:val="100"/>
          <w:sz w:val="22"/>
          <w:szCs w:val="22"/>
          <w:highlight w:val="none"/>
          <w:lang w:val="zh-CN" w:eastAsia="zh-CN" w:bidi="zh-CN"/>
        </w:rPr>
        <w:t>供应商资格要求详见第一部分谈判邀请函。</w:t>
      </w:r>
    </w:p>
    <w:p>
      <w:pPr>
        <w:pStyle w:val="2"/>
        <w:spacing w:line="360" w:lineRule="auto"/>
        <w:ind w:left="100"/>
        <w:rPr>
          <w:rFonts w:hint="eastAsia" w:ascii="仿宋" w:hAnsi="仿宋" w:eastAsia="仿宋" w:cs="仿宋"/>
          <w:sz w:val="22"/>
          <w:szCs w:val="22"/>
          <w:highlight w:val="none"/>
          <w:lang w:val="zh-CN" w:eastAsia="zh-CN" w:bidi="zh-CN"/>
        </w:rPr>
      </w:pP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pacing w:val="0"/>
          <w:w w:val="100"/>
          <w:sz w:val="21"/>
          <w:szCs w:val="22"/>
          <w:highlight w:val="none"/>
          <w:lang w:val="zh-CN" w:eastAsia="zh-CN" w:bidi="zh-CN"/>
        </w:rPr>
      </w:pPr>
      <w:bookmarkStart w:id="52" w:name="附表二《符合性审查表》"/>
      <w:bookmarkEnd w:id="52"/>
      <w:r>
        <w:rPr>
          <w:rFonts w:hint="eastAsia" w:ascii="仿宋" w:hAnsi="仿宋" w:eastAsia="仿宋" w:cs="仿宋"/>
          <w:b/>
          <w:bCs/>
          <w:spacing w:val="0"/>
          <w:w w:val="100"/>
          <w:sz w:val="21"/>
          <w:szCs w:val="22"/>
          <w:highlight w:val="none"/>
          <w:lang w:val="zh-CN" w:eastAsia="zh-CN" w:bidi="zh-CN"/>
        </w:rPr>
        <w:t>附表二《</w:t>
      </w:r>
      <w:r>
        <w:rPr>
          <w:rFonts w:hint="eastAsia" w:ascii="仿宋" w:hAnsi="仿宋" w:eastAsia="仿宋" w:cs="仿宋"/>
          <w:b/>
          <w:spacing w:val="0"/>
          <w:w w:val="100"/>
          <w:sz w:val="21"/>
          <w:highlight w:val="none"/>
        </w:rPr>
        <w:t>符合性评审表</w:t>
      </w:r>
      <w:r>
        <w:rPr>
          <w:rFonts w:hint="eastAsia" w:ascii="仿宋" w:hAnsi="仿宋" w:eastAsia="仿宋" w:cs="仿宋"/>
          <w:b/>
          <w:bCs/>
          <w:spacing w:val="0"/>
          <w:w w:val="100"/>
          <w:sz w:val="21"/>
          <w:szCs w:val="22"/>
          <w:highlight w:val="none"/>
          <w:lang w:val="zh-CN" w:eastAsia="zh-CN" w:bidi="zh-CN"/>
        </w:rPr>
        <w:t>》</w:t>
      </w:r>
    </w:p>
    <w:tbl>
      <w:tblPr>
        <w:tblStyle w:val="22"/>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8"/>
              <w:spacing w:before="147" w:line="360" w:lineRule="auto"/>
              <w:ind w:left="91" w:right="84"/>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序号</w:t>
            </w:r>
          </w:p>
        </w:tc>
        <w:tc>
          <w:tcPr>
            <w:tcW w:w="8197" w:type="dxa"/>
          </w:tcPr>
          <w:p>
            <w:pPr>
              <w:pStyle w:val="28"/>
              <w:spacing w:before="147" w:line="360" w:lineRule="auto"/>
              <w:ind w:left="3867" w:right="3860"/>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8"/>
              <w:spacing w:before="128"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1</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8"/>
              <w:spacing w:before="8" w:line="360" w:lineRule="auto"/>
              <w:rPr>
                <w:rFonts w:hint="eastAsia" w:ascii="仿宋" w:hAnsi="仿宋" w:eastAsia="仿宋" w:cs="仿宋"/>
                <w:b/>
                <w:spacing w:val="0"/>
                <w:w w:val="100"/>
                <w:sz w:val="15"/>
                <w:highlight w:val="none"/>
              </w:rPr>
            </w:pPr>
          </w:p>
          <w:p>
            <w:pPr>
              <w:pStyle w:val="28"/>
              <w:spacing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2</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8"/>
              <w:spacing w:before="12" w:line="360" w:lineRule="auto"/>
              <w:rPr>
                <w:rFonts w:hint="eastAsia" w:ascii="仿宋" w:hAnsi="仿宋" w:eastAsia="仿宋" w:cs="仿宋"/>
                <w:b/>
                <w:spacing w:val="0"/>
                <w:w w:val="100"/>
                <w:sz w:val="23"/>
                <w:highlight w:val="none"/>
              </w:rPr>
            </w:pPr>
          </w:p>
          <w:p>
            <w:pPr>
              <w:pStyle w:val="28"/>
              <w:spacing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3</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8"/>
              <w:spacing w:before="164"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4</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响应文件中要求法人代表签字</w:t>
            </w:r>
            <w:r>
              <w:rPr>
                <w:rFonts w:hint="eastAsia" w:ascii="仿宋" w:hAnsi="仿宋" w:eastAsia="仿宋" w:cs="仿宋"/>
                <w:spacing w:val="0"/>
                <w:w w:val="100"/>
                <w:sz w:val="21"/>
                <w:highlight w:val="none"/>
                <w:lang w:val="en-US" w:eastAsia="zh-CN"/>
              </w:rPr>
              <w:t>或盖章</w:t>
            </w:r>
            <w:r>
              <w:rPr>
                <w:rFonts w:hint="eastAsia" w:ascii="仿宋" w:hAnsi="仿宋" w:eastAsia="仿宋" w:cs="仿宋"/>
                <w:spacing w:val="0"/>
                <w:w w:val="100"/>
                <w:sz w:val="21"/>
                <w:highlight w:val="none"/>
              </w:rPr>
              <w:t>、授权人签字</w:t>
            </w:r>
            <w:r>
              <w:rPr>
                <w:rFonts w:hint="eastAsia" w:ascii="仿宋" w:hAnsi="仿宋" w:eastAsia="仿宋" w:cs="仿宋"/>
                <w:spacing w:val="0"/>
                <w:w w:val="100"/>
                <w:sz w:val="21"/>
                <w:highlight w:val="none"/>
                <w:lang w:val="en-US" w:eastAsia="zh-CN"/>
              </w:rPr>
              <w:t>或盖章</w:t>
            </w:r>
            <w:r>
              <w:rPr>
                <w:rFonts w:hint="eastAsia" w:ascii="仿宋" w:hAnsi="仿宋" w:eastAsia="仿宋" w:cs="仿宋"/>
                <w:spacing w:val="0"/>
                <w:w w:val="100"/>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8"/>
              <w:spacing w:before="123" w:line="360" w:lineRule="auto"/>
              <w:ind w:left="6"/>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5</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lang w:val="en-US" w:eastAsia="zh-CN"/>
              </w:rPr>
              <w:t>响应文件</w:t>
            </w:r>
            <w:r>
              <w:rPr>
                <w:rFonts w:hint="eastAsia" w:ascii="仿宋" w:hAnsi="仿宋" w:eastAsia="仿宋" w:cs="仿宋"/>
                <w:spacing w:val="0"/>
                <w:w w:val="100"/>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8"/>
              <w:spacing w:before="9" w:line="360" w:lineRule="auto"/>
              <w:rPr>
                <w:rFonts w:hint="eastAsia" w:ascii="仿宋" w:hAnsi="仿宋" w:eastAsia="仿宋" w:cs="仿宋"/>
                <w:b/>
                <w:spacing w:val="0"/>
                <w:w w:val="100"/>
                <w:sz w:val="14"/>
                <w:highlight w:val="none"/>
              </w:rPr>
            </w:pPr>
          </w:p>
          <w:p>
            <w:pPr>
              <w:pStyle w:val="28"/>
              <w:spacing w:before="1" w:line="360" w:lineRule="auto"/>
              <w:ind w:left="6"/>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6</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53" w:name="第四部分"/>
      <w:bookmarkEnd w:id="53"/>
      <w:bookmarkStart w:id="54" w:name="_Toc4739"/>
      <w:r>
        <w:rPr>
          <w:rFonts w:hint="eastAsia" w:ascii="仿宋" w:hAnsi="仿宋" w:eastAsia="仿宋" w:cs="仿宋"/>
        </w:rPr>
        <w:t>第四部分</w:t>
      </w:r>
      <w:bookmarkEnd w:id="54"/>
      <w:bookmarkStart w:id="55"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55"/>
    </w:p>
    <w:p>
      <w:pPr>
        <w:pStyle w:val="2"/>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6" w:name="（注：合同书格式仅供参考）"/>
      <w:bookmarkEnd w:id="56"/>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spacing w:line="360" w:lineRule="auto"/>
        <w:ind w:left="0" w:leftChars="0" w:firstLine="0" w:firstLineChars="0"/>
        <w:jc w:val="center"/>
        <w:rPr>
          <w:rFonts w:ascii="黑体" w:hAnsi="黑体" w:eastAsia="黑体"/>
          <w:spacing w:val="20"/>
          <w:sz w:val="32"/>
          <w:szCs w:val="32"/>
        </w:rPr>
      </w:pPr>
      <w:bookmarkStart w:id="57" w:name="_Toc78194101"/>
      <w:bookmarkStart w:id="58" w:name="_Toc391627752"/>
      <w:bookmarkStart w:id="59" w:name="_Toc405313956"/>
      <w:r>
        <w:rPr>
          <w:rFonts w:hint="eastAsia" w:ascii="黑体" w:hAnsi="黑体" w:eastAsia="黑体"/>
          <w:spacing w:val="20"/>
          <w:sz w:val="32"/>
          <w:szCs w:val="32"/>
        </w:rPr>
        <w:t>合同书格式</w:t>
      </w:r>
      <w:bookmarkEnd w:id="57"/>
    </w:p>
    <w:p>
      <w:pPr>
        <w:spacing w:line="360" w:lineRule="auto"/>
        <w:jc w:val="center"/>
        <w:rPr>
          <w:rFonts w:ascii="黑体" w:hAnsi="黑体" w:eastAsia="黑体"/>
        </w:rPr>
      </w:pPr>
      <w:r>
        <w:rPr>
          <w:rFonts w:hint="eastAsia" w:ascii="黑体" w:hAnsi="黑体" w:eastAsia="黑体"/>
        </w:rPr>
        <w:t>（本格式编排在</w:t>
      </w:r>
      <w:r>
        <w:rPr>
          <w:rFonts w:hint="eastAsia" w:ascii="黑体" w:hAnsi="黑体" w:eastAsia="黑体"/>
          <w:lang w:val="en-US" w:eastAsia="zh-CN"/>
        </w:rPr>
        <w:t>谈判</w:t>
      </w:r>
      <w:r>
        <w:rPr>
          <w:rFonts w:hint="eastAsia" w:ascii="黑体" w:hAnsi="黑体" w:eastAsia="黑体"/>
        </w:rPr>
        <w:t>文件中，供</w:t>
      </w:r>
      <w:r>
        <w:rPr>
          <w:rFonts w:hint="eastAsia" w:ascii="黑体" w:hAnsi="黑体" w:eastAsia="黑体"/>
          <w:lang w:val="en-US" w:eastAsia="zh-CN"/>
        </w:rPr>
        <w:t>供应商</w:t>
      </w:r>
      <w:r>
        <w:rPr>
          <w:rFonts w:hint="eastAsia" w:ascii="黑体" w:hAnsi="黑体" w:eastAsia="黑体"/>
        </w:rPr>
        <w:t>参考，</w:t>
      </w:r>
      <w:r>
        <w:rPr>
          <w:rFonts w:hint="eastAsia" w:ascii="黑体" w:hAnsi="黑体" w:eastAsia="黑体"/>
          <w:lang w:val="en-US" w:eastAsia="zh-CN"/>
        </w:rPr>
        <w:t>响应</w:t>
      </w:r>
      <w:r>
        <w:rPr>
          <w:rFonts w:hint="eastAsia" w:ascii="黑体" w:hAnsi="黑体" w:eastAsia="黑体"/>
        </w:rPr>
        <w:t>时不需填写）</w:t>
      </w:r>
    </w:p>
    <w:p/>
    <w:p>
      <w:pPr>
        <w:spacing w:line="360" w:lineRule="auto"/>
        <w:jc w:val="center"/>
        <w:rPr>
          <w:rFonts w:hint="eastAsia" w:ascii="黑体" w:hAnsi="黑体" w:eastAsia="黑体"/>
          <w:bCs/>
          <w:sz w:val="50"/>
          <w:szCs w:val="50"/>
          <w:lang w:eastAsia="zh-CN"/>
        </w:rPr>
      </w:pPr>
      <w:r>
        <w:rPr>
          <w:rFonts w:hint="eastAsia" w:ascii="黑体" w:hAnsi="黑体" w:eastAsia="黑体"/>
          <w:bCs/>
          <w:sz w:val="50"/>
          <w:szCs w:val="50"/>
          <w:lang w:eastAsia="zh-CN"/>
        </w:rPr>
        <w:t>新兴县中医院药事管理系统采购项目</w:t>
      </w:r>
    </w:p>
    <w:p>
      <w:pPr>
        <w:spacing w:before="1092" w:beforeLines="350" w:after="468" w:afterLines="150" w:line="360" w:lineRule="auto"/>
        <w:jc w:val="center"/>
        <w:rPr>
          <w:rFonts w:hint="eastAsia" w:ascii="黑体" w:hAnsi="黑体" w:eastAsia="黑体"/>
          <w:b/>
          <w:bCs/>
          <w:spacing w:val="60"/>
          <w:sz w:val="52"/>
          <w:szCs w:val="52"/>
          <w:lang w:eastAsia="zh-CN"/>
        </w:rPr>
      </w:pPr>
      <w:r>
        <w:rPr>
          <w:rFonts w:hint="eastAsia" w:ascii="黑体" w:hAnsi="黑体" w:eastAsia="黑体"/>
          <w:b/>
          <w:bCs/>
          <w:spacing w:val="60"/>
          <w:sz w:val="52"/>
          <w:szCs w:val="52"/>
          <w:lang w:val="en-US" w:eastAsia="zh-CN"/>
        </w:rPr>
        <w:t>采 购 合 同</w:t>
      </w:r>
    </w:p>
    <w:p>
      <w:pPr>
        <w:spacing w:line="360" w:lineRule="auto"/>
        <w:jc w:val="center"/>
        <w:rPr>
          <w:rFonts w:ascii="黑体" w:hAnsi="黑体" w:eastAsia="黑体"/>
          <w:b/>
          <w:bCs/>
          <w:sz w:val="28"/>
          <w:szCs w:val="24"/>
        </w:rPr>
      </w:pPr>
      <w:r>
        <w:rPr>
          <w:rFonts w:hint="eastAsia" w:ascii="黑体" w:hAnsi="黑体" w:eastAsia="黑体"/>
          <w:b/>
          <w:bCs/>
          <w:sz w:val="28"/>
          <w:szCs w:val="24"/>
        </w:rPr>
        <w:t>（合同编号：</w:t>
      </w:r>
      <w:r>
        <w:rPr>
          <w:rFonts w:ascii="黑体" w:hAnsi="黑体" w:eastAsia="黑体"/>
          <w:b/>
          <w:bCs/>
          <w:sz w:val="28"/>
          <w:szCs w:val="24"/>
          <w:u w:val="single"/>
        </w:rPr>
        <w:t xml:space="preserve">         </w:t>
      </w:r>
      <w:r>
        <w:rPr>
          <w:rFonts w:hint="eastAsia" w:ascii="黑体" w:hAnsi="黑体" w:eastAsia="黑体"/>
          <w:b/>
          <w:bCs/>
          <w:sz w:val="28"/>
          <w:szCs w:val="24"/>
        </w:rPr>
        <w:t>）</w:t>
      </w: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94"/>
        <w:gridCol w:w="4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894" w:type="dxa"/>
          </w:tcPr>
          <w:p>
            <w:pPr>
              <w:spacing w:line="360" w:lineRule="auto"/>
              <w:rPr>
                <w:rFonts w:ascii="黑体" w:hAnsi="黑体" w:eastAsia="黑体"/>
                <w:b/>
                <w:bCs/>
                <w:sz w:val="28"/>
                <w:szCs w:val="28"/>
              </w:rPr>
            </w:pPr>
            <w:r>
              <w:rPr>
                <w:rFonts w:hint="eastAsia" w:ascii="黑体" w:hAnsi="黑体" w:eastAsia="黑体"/>
                <w:b/>
                <w:bCs/>
                <w:sz w:val="28"/>
                <w:szCs w:val="28"/>
              </w:rPr>
              <w:t>甲方（采购人）：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894" w:type="dxa"/>
          </w:tcPr>
          <w:p>
            <w:pPr>
              <w:spacing w:line="360" w:lineRule="auto"/>
              <w:rPr>
                <w:rFonts w:ascii="黑体" w:hAnsi="黑体" w:eastAsia="黑体"/>
                <w:b/>
                <w:bCs/>
                <w:sz w:val="28"/>
                <w:szCs w:val="28"/>
              </w:rPr>
            </w:pPr>
            <w:r>
              <w:rPr>
                <w:rFonts w:hint="eastAsia" w:ascii="黑体" w:hAnsi="黑体" w:eastAsia="黑体"/>
                <w:b/>
                <w:bCs/>
                <w:sz w:val="28"/>
                <w:szCs w:val="28"/>
              </w:rPr>
              <w:t>乙方（</w:t>
            </w:r>
            <w:r>
              <w:rPr>
                <w:rFonts w:hint="eastAsia" w:ascii="黑体" w:hAnsi="黑体" w:eastAsia="黑体"/>
                <w:b/>
                <w:bCs/>
                <w:sz w:val="28"/>
                <w:szCs w:val="28"/>
                <w:lang w:val="en-US" w:eastAsia="zh-CN"/>
              </w:rPr>
              <w:t>成交</w:t>
            </w:r>
            <w:r>
              <w:rPr>
                <w:rFonts w:hint="eastAsia" w:ascii="黑体" w:hAnsi="黑体" w:eastAsia="黑体"/>
                <w:b/>
                <w:bCs/>
                <w:sz w:val="28"/>
                <w:szCs w:val="28"/>
              </w:rPr>
              <w:t>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894" w:type="dxa"/>
          </w:tcPr>
          <w:p>
            <w:pPr>
              <w:spacing w:line="360" w:lineRule="auto"/>
              <w:rPr>
                <w:rFonts w:ascii="黑体" w:hAnsi="黑体" w:eastAsia="黑体"/>
                <w:b/>
                <w:bCs/>
                <w:spacing w:val="9"/>
                <w:sz w:val="28"/>
                <w:szCs w:val="28"/>
              </w:rPr>
            </w:pPr>
            <w:r>
              <w:rPr>
                <w:rFonts w:hint="eastAsia" w:ascii="黑体" w:hAnsi="黑体" w:eastAsia="黑体"/>
                <w:b/>
                <w:bCs/>
                <w:spacing w:val="9"/>
                <w:sz w:val="28"/>
                <w:szCs w:val="28"/>
              </w:rPr>
              <w:t>协议签订时间：</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bl>
    <w:p>
      <w:pPr>
        <w:spacing w:line="360" w:lineRule="auto"/>
        <w:rPr>
          <w:rFonts w:ascii="黑体" w:hAnsi="黑体" w:eastAsia="黑体"/>
          <w:b/>
          <w:bCs/>
          <w:szCs w:val="21"/>
        </w:rPr>
      </w:pPr>
    </w:p>
    <w:p>
      <w:pPr>
        <w:spacing w:line="360" w:lineRule="auto"/>
        <w:rPr>
          <w:rFonts w:ascii="黑体" w:hAnsi="黑体" w:eastAsia="黑体"/>
          <w:b/>
          <w:bCs/>
          <w:szCs w:val="21"/>
        </w:rPr>
      </w:pPr>
    </w:p>
    <w:p>
      <w:pPr>
        <w:tabs>
          <w:tab w:val="left" w:pos="720"/>
        </w:tabs>
        <w:spacing w:line="360" w:lineRule="auto"/>
        <w:jc w:val="center"/>
        <w:rPr>
          <w:rFonts w:hint="default" w:ascii="黑体" w:hAnsi="黑体" w:eastAsia="黑体"/>
          <w:spacing w:val="20"/>
          <w:sz w:val="28"/>
          <w:szCs w:val="28"/>
          <w:lang w:val="en-US" w:eastAsia="zh-CN"/>
        </w:rPr>
      </w:pPr>
      <w:r>
        <w:rPr>
          <w:rFonts w:hint="eastAsia" w:ascii="黑体" w:hAnsi="黑体" w:eastAsia="黑体"/>
          <w:spacing w:val="20"/>
          <w:sz w:val="28"/>
          <w:szCs w:val="28"/>
        </w:rPr>
        <w:t>二〇二</w:t>
      </w:r>
      <w:r>
        <w:rPr>
          <w:rFonts w:hint="eastAsia" w:ascii="黑体" w:hAnsi="黑体" w:eastAsia="黑体"/>
          <w:spacing w:val="20"/>
          <w:sz w:val="28"/>
          <w:szCs w:val="28"/>
          <w:lang w:val="en-US" w:eastAsia="zh-CN"/>
        </w:rPr>
        <w:t>三</w:t>
      </w:r>
      <w:r>
        <w:rPr>
          <w:rFonts w:hint="eastAsia" w:ascii="黑体" w:hAnsi="黑体" w:eastAsia="黑体"/>
          <w:spacing w:val="20"/>
          <w:sz w:val="28"/>
          <w:szCs w:val="28"/>
        </w:rPr>
        <w:t>年</w:t>
      </w:r>
      <w:r>
        <w:rPr>
          <w:rFonts w:ascii="黑体" w:hAnsi="黑体" w:eastAsia="黑体"/>
          <w:spacing w:val="20"/>
          <w:sz w:val="28"/>
          <w:szCs w:val="28"/>
          <w:u w:val="single"/>
        </w:rPr>
        <w:t xml:space="preserve">   </w:t>
      </w:r>
      <w:r>
        <w:rPr>
          <w:rFonts w:hint="eastAsia" w:ascii="黑体" w:hAnsi="黑体" w:eastAsia="黑体"/>
          <w:spacing w:val="20"/>
          <w:sz w:val="28"/>
          <w:szCs w:val="28"/>
        </w:rPr>
        <w:t>月于</w:t>
      </w:r>
      <w:r>
        <w:rPr>
          <w:rFonts w:hint="eastAsia" w:ascii="黑体" w:hAnsi="黑体" w:eastAsia="黑体"/>
          <w:spacing w:val="20"/>
          <w:sz w:val="28"/>
          <w:szCs w:val="28"/>
          <w:lang w:val="en-US" w:eastAsia="zh-CN"/>
        </w:rPr>
        <w:t>新兴县</w:t>
      </w:r>
    </w:p>
    <w:p>
      <w:pPr>
        <w:widowControl/>
        <w:jc w:val="left"/>
        <w:rPr>
          <w:rFonts w:ascii="黑体" w:hAnsi="黑体" w:eastAsia="黑体"/>
          <w:b/>
          <w:bCs/>
          <w:sz w:val="32"/>
          <w:szCs w:val="32"/>
        </w:rPr>
      </w:pPr>
      <w:r>
        <w:rPr>
          <w:rFonts w:ascii="黑体" w:hAnsi="黑体" w:eastAsia="黑体"/>
          <w:b/>
          <w:bCs/>
          <w:sz w:val="32"/>
          <w:szCs w:val="32"/>
        </w:rPr>
        <w:br w:type="page"/>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96"/>
        <w:gridCol w:w="4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6" w:type="dxa"/>
            <w:vAlign w:val="center"/>
          </w:tcPr>
          <w:p>
            <w:pPr>
              <w:jc w:val="both"/>
              <w:rPr>
                <w:vertAlign w:val="baseline"/>
              </w:rPr>
            </w:pPr>
            <w:r>
              <w:rPr>
                <w:rFonts w:hint="eastAsia" w:ascii="黑体" w:hAnsi="黑体" w:eastAsia="黑体" w:cs="宋体"/>
                <w:sz w:val="24"/>
                <w:szCs w:val="22"/>
              </w:rPr>
              <w:t>甲方：</w:t>
            </w:r>
          </w:p>
        </w:tc>
        <w:tc>
          <w:tcPr>
            <w:tcW w:w="4596" w:type="dxa"/>
            <w:vAlign w:val="center"/>
          </w:tcPr>
          <w:p>
            <w:pPr>
              <w:spacing w:line="480" w:lineRule="auto"/>
              <w:jc w:val="both"/>
              <w:rPr>
                <w:vertAlign w:val="baseline"/>
              </w:rPr>
            </w:pPr>
            <w:r>
              <w:rPr>
                <w:rFonts w:hint="eastAsia" w:ascii="黑体" w:hAnsi="黑体" w:eastAsia="黑体" w:cs="宋体"/>
                <w:sz w:val="24"/>
                <w:szCs w:val="22"/>
                <w:u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6" w:type="dxa"/>
            <w:vAlign w:val="center"/>
          </w:tcPr>
          <w:p>
            <w:pPr>
              <w:spacing w:line="480" w:lineRule="auto"/>
              <w:jc w:val="both"/>
              <w:rPr>
                <w:vertAlign w:val="baseline"/>
              </w:rPr>
            </w:pPr>
            <w:r>
              <w:rPr>
                <w:rFonts w:hint="eastAsia" w:ascii="黑体" w:hAnsi="黑体" w:eastAsia="黑体" w:cs="宋体"/>
                <w:sz w:val="24"/>
                <w:szCs w:val="22"/>
              </w:rPr>
              <w:t>电话：</w:t>
            </w:r>
          </w:p>
        </w:tc>
        <w:tc>
          <w:tcPr>
            <w:tcW w:w="4596" w:type="dxa"/>
            <w:vAlign w:val="center"/>
          </w:tcPr>
          <w:p>
            <w:pPr>
              <w:spacing w:line="480" w:lineRule="auto"/>
              <w:jc w:val="both"/>
              <w:rPr>
                <w:vertAlign w:val="baseline"/>
              </w:rPr>
            </w:pPr>
            <w:r>
              <w:rPr>
                <w:rFonts w:hint="eastAsia" w:ascii="黑体" w:hAnsi="黑体" w:eastAsia="黑体" w:cs="宋体"/>
                <w:sz w:val="24"/>
                <w:szCs w:val="22"/>
                <w:u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6" w:type="dxa"/>
            <w:vAlign w:val="center"/>
          </w:tcPr>
          <w:p>
            <w:pPr>
              <w:spacing w:line="480" w:lineRule="auto"/>
              <w:jc w:val="both"/>
              <w:rPr>
                <w:vertAlign w:val="baseline"/>
              </w:rPr>
            </w:pPr>
            <w:r>
              <w:rPr>
                <w:rFonts w:hint="eastAsia" w:ascii="黑体" w:hAnsi="黑体" w:eastAsia="黑体" w:cs="宋体"/>
                <w:sz w:val="24"/>
                <w:szCs w:val="22"/>
                <w:u w:val="none"/>
              </w:rPr>
              <w:t>传真：</w:t>
            </w:r>
          </w:p>
        </w:tc>
        <w:tc>
          <w:tcPr>
            <w:tcW w:w="4596" w:type="dxa"/>
            <w:vAlign w:val="center"/>
          </w:tcPr>
          <w:p>
            <w:pPr>
              <w:spacing w:line="480" w:lineRule="auto"/>
              <w:jc w:val="both"/>
              <w:rPr>
                <w:vertAlign w:val="baseline"/>
              </w:rPr>
            </w:pPr>
            <w:r>
              <w:rPr>
                <w:rFonts w:hint="eastAsia" w:ascii="黑体" w:hAnsi="黑体" w:eastAsia="黑体" w:cs="宋体"/>
                <w:sz w:val="24"/>
                <w:szCs w:val="22"/>
                <w:u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6" w:type="dxa"/>
            <w:vAlign w:val="center"/>
          </w:tcPr>
          <w:p>
            <w:pPr>
              <w:spacing w:line="480" w:lineRule="auto"/>
              <w:jc w:val="both"/>
              <w:rPr>
                <w:vertAlign w:val="baseline"/>
              </w:rPr>
            </w:pPr>
            <w:r>
              <w:rPr>
                <w:rFonts w:hint="eastAsia" w:ascii="黑体" w:hAnsi="黑体" w:eastAsia="黑体" w:cs="宋体"/>
                <w:sz w:val="24"/>
                <w:szCs w:val="22"/>
                <w:u w:val="none"/>
              </w:rPr>
              <w:t>地址：</w:t>
            </w:r>
          </w:p>
        </w:tc>
        <w:tc>
          <w:tcPr>
            <w:tcW w:w="4596" w:type="dxa"/>
            <w:vAlign w:val="center"/>
          </w:tcPr>
          <w:p>
            <w:pPr>
              <w:spacing w:line="480" w:lineRule="auto"/>
              <w:jc w:val="both"/>
              <w:rPr>
                <w:vertAlign w:val="baseline"/>
              </w:rPr>
            </w:pPr>
            <w:r>
              <w:rPr>
                <w:rFonts w:hint="eastAsia" w:ascii="黑体" w:hAnsi="黑体" w:eastAsia="黑体" w:cs="宋体"/>
                <w:sz w:val="24"/>
                <w:szCs w:val="22"/>
                <w:u w:val="none"/>
              </w:rPr>
              <w:t>地址：</w:t>
            </w:r>
          </w:p>
        </w:tc>
      </w:tr>
    </w:tbl>
    <w:p>
      <w:pPr>
        <w:pStyle w:val="2"/>
        <w:rPr>
          <w:rFonts w:hint="eastAsia"/>
          <w:sz w:val="22"/>
          <w:szCs w:val="22"/>
          <w:u w:val="none"/>
        </w:rPr>
      </w:pPr>
    </w:p>
    <w:p>
      <w:pPr>
        <w:widowControl/>
        <w:snapToGrid w:val="0"/>
        <w:spacing w:before="156" w:beforeLines="50" w:after="156" w:afterLines="50" w:line="360" w:lineRule="auto"/>
        <w:ind w:firstLine="440" w:firstLineChars="200"/>
        <w:rPr>
          <w:rFonts w:hint="eastAsia" w:ascii="黑体" w:hAnsi="黑体" w:eastAsia="黑体" w:cs="宋体"/>
          <w:szCs w:val="21"/>
          <w:lang w:eastAsia="zh-CN"/>
        </w:rPr>
      </w:pPr>
      <w:r>
        <w:rPr>
          <w:rFonts w:hint="eastAsia" w:ascii="黑体" w:hAnsi="黑体" w:eastAsia="黑体" w:cs="宋体"/>
          <w:szCs w:val="21"/>
        </w:rPr>
        <w:t>根据</w:t>
      </w:r>
      <w:r>
        <w:rPr>
          <w:rFonts w:hint="eastAsia" w:ascii="黑体" w:hAnsi="黑体" w:eastAsia="黑体" w:cs="宋体"/>
          <w:szCs w:val="21"/>
          <w:u w:val="single"/>
        </w:rPr>
        <w:t xml:space="preserve">    （</w:t>
      </w:r>
      <w:r>
        <w:rPr>
          <w:rFonts w:hint="eastAsia" w:ascii="黑体" w:hAnsi="黑体" w:eastAsia="黑体" w:cs="宋体"/>
          <w:szCs w:val="21"/>
          <w:u w:val="single"/>
          <w:lang w:eastAsia="zh-CN"/>
        </w:rPr>
        <w:t>采购项目名称</w:t>
      </w:r>
      <w:r>
        <w:rPr>
          <w:rFonts w:hint="eastAsia" w:ascii="黑体" w:hAnsi="黑体" w:eastAsia="黑体" w:cs="宋体"/>
          <w:szCs w:val="21"/>
          <w:u w:val="single"/>
        </w:rPr>
        <w:t xml:space="preserve">）      </w:t>
      </w:r>
      <w:r>
        <w:rPr>
          <w:rFonts w:hint="eastAsia" w:ascii="黑体" w:hAnsi="黑体" w:eastAsia="黑体" w:cs="宋体"/>
          <w:szCs w:val="21"/>
          <w:lang w:val="en-US" w:eastAsia="zh-CN"/>
        </w:rPr>
        <w:t>(采购</w:t>
      </w:r>
      <w:r>
        <w:rPr>
          <w:rFonts w:hint="eastAsia" w:ascii="黑体" w:hAnsi="黑体" w:eastAsia="黑体" w:cs="宋体"/>
          <w:szCs w:val="21"/>
          <w:lang w:eastAsia="zh-CN"/>
        </w:rPr>
        <w:t>项目编号</w:t>
      </w:r>
      <w:r>
        <w:rPr>
          <w:rFonts w:hint="eastAsia" w:ascii="黑体" w:hAnsi="黑体" w:eastAsia="黑体" w:cs="宋体"/>
          <w:szCs w:val="21"/>
        </w:rPr>
        <w:t>：</w:t>
      </w:r>
      <w:r>
        <w:rPr>
          <w:rFonts w:hint="eastAsia" w:ascii="黑体" w:hAnsi="黑体" w:eastAsia="黑体" w:cs="宋体"/>
          <w:szCs w:val="21"/>
          <w:u w:val="single"/>
          <w:lang w:val="en-US" w:eastAsia="zh-CN"/>
        </w:rPr>
        <w:t xml:space="preserve">           </w:t>
      </w:r>
      <w:r>
        <w:rPr>
          <w:rFonts w:hint="eastAsia" w:ascii="黑体" w:hAnsi="黑体" w:eastAsia="黑体" w:cs="宋体"/>
          <w:szCs w:val="21"/>
          <w:lang w:val="en-US" w:eastAsia="zh-CN"/>
        </w:rPr>
        <w:t>)</w:t>
      </w:r>
      <w:r>
        <w:rPr>
          <w:rFonts w:hint="eastAsia" w:ascii="黑体" w:hAnsi="黑体" w:eastAsia="黑体" w:cs="宋体"/>
          <w:szCs w:val="21"/>
        </w:rPr>
        <w:t>的采购结果，按照《中华人民共和国政府采购法》，《中华人民共和国民法典(合同编)》的规定，经双方协商，本着平等互利和诚实信用的原则，一致同意遵守本合同如下</w:t>
      </w:r>
      <w:r>
        <w:rPr>
          <w:rFonts w:hint="eastAsia" w:ascii="黑体" w:hAnsi="黑体" w:eastAsia="黑体" w:cs="宋体"/>
          <w:szCs w:val="21"/>
          <w:lang w:eastAsia="zh-CN"/>
        </w:rPr>
        <w:t>。</w:t>
      </w:r>
    </w:p>
    <w:p>
      <w:pPr>
        <w:spacing w:line="360" w:lineRule="auto"/>
        <w:ind w:right="360"/>
        <w:rPr>
          <w:rFonts w:hint="eastAsia" w:ascii="黑体" w:hAnsi="黑体" w:eastAsia="黑体" w:cs="宋体"/>
          <w:szCs w:val="21"/>
        </w:rPr>
      </w:pPr>
      <w:r>
        <w:rPr>
          <w:rFonts w:hint="eastAsia" w:ascii="黑体" w:hAnsi="黑体" w:eastAsia="黑体" w:cs="宋体"/>
          <w:szCs w:val="21"/>
        </w:rPr>
        <w:t>一、 合同金额</w:t>
      </w:r>
    </w:p>
    <w:p>
      <w:pPr>
        <w:spacing w:line="360" w:lineRule="auto"/>
        <w:ind w:right="360"/>
        <w:rPr>
          <w:rFonts w:hint="eastAsia" w:ascii="黑体" w:hAnsi="黑体" w:eastAsia="黑体" w:cs="宋体"/>
          <w:szCs w:val="21"/>
        </w:rPr>
      </w:pPr>
      <w:r>
        <w:rPr>
          <w:rFonts w:hint="eastAsia" w:ascii="黑体" w:hAnsi="黑体" w:eastAsia="黑体" w:cs="宋体"/>
          <w:szCs w:val="21"/>
        </w:rPr>
        <w:t>合同金额为（大写）：_____________元（￥_________元）人民币。</w:t>
      </w:r>
    </w:p>
    <w:p>
      <w:pPr>
        <w:spacing w:line="360" w:lineRule="auto"/>
        <w:ind w:right="360"/>
        <w:rPr>
          <w:rFonts w:hint="eastAsia" w:ascii="黑体" w:hAnsi="黑体" w:eastAsia="黑体" w:cs="宋体"/>
          <w:szCs w:val="21"/>
        </w:rPr>
      </w:pPr>
      <w:r>
        <w:rPr>
          <w:rFonts w:hint="eastAsia" w:ascii="黑体" w:hAnsi="黑体" w:eastAsia="黑体" w:cs="宋体"/>
          <w:szCs w:val="21"/>
        </w:rPr>
        <w:t>二、 服务范围和具体要求（见用户需求书）</w:t>
      </w:r>
    </w:p>
    <w:p>
      <w:pPr>
        <w:spacing w:line="360" w:lineRule="auto"/>
        <w:ind w:right="360" w:firstLine="440" w:firstLineChars="200"/>
        <w:rPr>
          <w:rFonts w:hint="eastAsia" w:ascii="黑体" w:hAnsi="黑体" w:eastAsia="黑体" w:cs="宋体"/>
          <w:szCs w:val="21"/>
        </w:rPr>
      </w:pPr>
      <w:r>
        <w:rPr>
          <w:rFonts w:hint="eastAsia" w:ascii="黑体" w:hAnsi="黑体" w:eastAsia="黑体" w:cs="宋体"/>
          <w:szCs w:val="21"/>
        </w:rPr>
        <w:t>甲方聘请乙方提供以下服务：</w:t>
      </w:r>
    </w:p>
    <w:p>
      <w:pPr>
        <w:spacing w:line="360" w:lineRule="auto"/>
        <w:ind w:right="360" w:firstLine="440" w:firstLineChars="200"/>
        <w:rPr>
          <w:rFonts w:hint="eastAsia" w:ascii="黑体" w:hAnsi="黑体" w:eastAsia="黑体" w:cs="宋体"/>
          <w:szCs w:val="21"/>
        </w:rPr>
      </w:pPr>
      <w:r>
        <w:rPr>
          <w:rFonts w:hint="eastAsia" w:ascii="黑体" w:hAnsi="黑体" w:eastAsia="黑体" w:cs="宋体"/>
          <w:szCs w:val="21"/>
        </w:rPr>
        <w:t>本合同项下的服务指按招标文件需求。</w:t>
      </w:r>
    </w:p>
    <w:p>
      <w:pPr>
        <w:spacing w:line="360" w:lineRule="auto"/>
        <w:ind w:right="360" w:firstLine="440" w:firstLineChars="200"/>
        <w:rPr>
          <w:rFonts w:ascii="黑体" w:hAnsi="黑体" w:eastAsia="黑体"/>
          <w:szCs w:val="21"/>
        </w:rPr>
      </w:pPr>
      <w:r>
        <w:rPr>
          <w:rFonts w:hint="eastAsia" w:ascii="黑体" w:hAnsi="黑体" w:eastAsia="黑体" w:cs="宋体"/>
          <w:szCs w:val="21"/>
        </w:rPr>
        <w:t>乙方应按照以下具体要求提供服务：见用户需求书。</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甲方乙方的权利和义务</w:t>
      </w:r>
    </w:p>
    <w:p>
      <w:pPr>
        <w:spacing w:line="360" w:lineRule="auto"/>
        <w:ind w:right="360" w:firstLine="440" w:firstLineChars="200"/>
        <w:rPr>
          <w:rFonts w:hint="eastAsia" w:ascii="黑体" w:hAnsi="黑体" w:eastAsia="黑体" w:cs="宋体"/>
          <w:szCs w:val="21"/>
        </w:rPr>
      </w:pPr>
      <w:r>
        <w:rPr>
          <w:rFonts w:hint="eastAsia" w:ascii="黑体" w:hAnsi="黑体" w:eastAsia="黑体" w:cs="宋体"/>
          <w:szCs w:val="21"/>
        </w:rPr>
        <w:t>（一）甲方的权利和义务</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1.乙方</w:t>
      </w:r>
      <w:r>
        <w:rPr>
          <w:rFonts w:hint="eastAsia" w:ascii="黑体" w:hAnsi="黑体" w:eastAsia="黑体" w:cs="宋体"/>
          <w:szCs w:val="21"/>
          <w:lang w:val="en-US" w:eastAsia="zh-CN"/>
        </w:rPr>
        <w:t>对项目实施的各个阶段：需求分析阶段、系统实施阶段、系统培训阶段、系统初验测试阶段、系统试运行阶段、系统终验阶段，对项目各阶段做出详细计划。</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lang w:val="en-US" w:eastAsia="zh-CN"/>
        </w:rPr>
        <w:t>2.</w:t>
      </w:r>
      <w:r>
        <w:rPr>
          <w:rFonts w:hint="eastAsia" w:ascii="黑体" w:hAnsi="黑体" w:eastAsia="黑体" w:cs="宋体"/>
          <w:szCs w:val="21"/>
        </w:rPr>
        <w:t>乙方须</w:t>
      </w:r>
      <w:r>
        <w:rPr>
          <w:rFonts w:hint="eastAsia" w:ascii="黑体" w:hAnsi="黑体" w:eastAsia="黑体" w:cs="宋体"/>
          <w:szCs w:val="21"/>
          <w:lang w:val="en-US" w:eastAsia="zh-CN"/>
        </w:rPr>
        <w:t>成立合理的组织机构，建立健全保障项目顺利实施的各项管理制度和质量保证体系，安排好足够的实施工程师参加本项目的建设。</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lang w:val="en-US" w:eastAsia="zh-CN"/>
        </w:rPr>
        <w:t>3.乙方</w:t>
      </w:r>
      <w:r>
        <w:rPr>
          <w:rFonts w:hint="eastAsia" w:ascii="黑体" w:hAnsi="黑体" w:eastAsia="黑体" w:cs="宋体"/>
          <w:szCs w:val="21"/>
        </w:rPr>
        <w:t>项目药学实施人员团队不少于2人具备执业药师资格证书；</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lang w:val="en-US" w:eastAsia="zh-CN"/>
        </w:rPr>
        <w:t>4.乙方</w:t>
      </w:r>
      <w:r>
        <w:rPr>
          <w:rFonts w:hint="eastAsia" w:ascii="黑体" w:hAnsi="黑体" w:eastAsia="黑体" w:cs="宋体"/>
          <w:szCs w:val="21"/>
        </w:rPr>
        <w:t>项目负责人同时具备项目管理师PMP 证书、高级软件工程师证书的且具备3年同类项目实施经验。</w:t>
      </w:r>
    </w:p>
    <w:p>
      <w:pPr>
        <w:spacing w:line="360" w:lineRule="auto"/>
        <w:ind w:left="0" w:leftChars="0" w:right="360" w:firstLine="440" w:firstLineChars="200"/>
        <w:jc w:val="left"/>
        <w:rPr>
          <w:rFonts w:hint="eastAsia" w:ascii="黑体" w:hAnsi="黑体" w:eastAsia="黑体" w:cs="宋体"/>
          <w:szCs w:val="21"/>
          <w:lang w:eastAsia="zh-CN"/>
        </w:rPr>
      </w:pPr>
      <w:r>
        <w:rPr>
          <w:rFonts w:hint="eastAsia" w:ascii="黑体" w:hAnsi="黑体" w:eastAsia="黑体" w:cs="宋体"/>
          <w:szCs w:val="21"/>
          <w:lang w:val="en-US" w:eastAsia="zh-CN"/>
        </w:rPr>
        <w:t>5.</w:t>
      </w:r>
      <w:r>
        <w:rPr>
          <w:rFonts w:hint="eastAsia" w:ascii="黑体" w:hAnsi="黑体" w:eastAsia="黑体" w:cs="宋体"/>
          <w:szCs w:val="21"/>
        </w:rPr>
        <w:t>乙方项目技术负责人员应具备计算机相关行业专业、ITIL 4 服务管理认证且获得市级及以上软件行业协会颁发的优秀软件人才</w:t>
      </w:r>
      <w:r>
        <w:rPr>
          <w:rFonts w:hint="eastAsia" w:ascii="黑体" w:hAnsi="黑体" w:eastAsia="黑体" w:cs="宋体"/>
          <w:szCs w:val="21"/>
          <w:lang w:eastAsia="zh-CN"/>
        </w:rPr>
        <w:t>。</w:t>
      </w:r>
    </w:p>
    <w:p>
      <w:pPr>
        <w:pStyle w:val="2"/>
        <w:spacing w:line="360" w:lineRule="auto"/>
        <w:ind w:firstLine="440" w:firstLineChars="200"/>
        <w:rPr>
          <w:rFonts w:hint="default" w:ascii="黑体" w:hAnsi="黑体" w:eastAsia="黑体" w:cs="宋体"/>
          <w:sz w:val="22"/>
          <w:szCs w:val="21"/>
          <w:lang w:val="en-US" w:eastAsia="zh-CN" w:bidi="zh-CN"/>
        </w:rPr>
      </w:pPr>
      <w:r>
        <w:rPr>
          <w:rFonts w:hint="eastAsia" w:ascii="黑体" w:hAnsi="黑体" w:eastAsia="黑体" w:cs="宋体"/>
          <w:sz w:val="22"/>
          <w:szCs w:val="21"/>
          <w:lang w:val="en-US" w:eastAsia="zh-CN" w:bidi="zh-CN"/>
        </w:rPr>
        <w:t>6.</w:t>
      </w:r>
      <w:r>
        <w:rPr>
          <w:rFonts w:hint="eastAsia" w:ascii="黑体" w:hAnsi="黑体" w:eastAsia="黑体" w:cs="宋体"/>
          <w:sz w:val="22"/>
          <w:szCs w:val="21"/>
          <w:lang w:val="zh-CN" w:eastAsia="zh-CN" w:bidi="zh-CN"/>
        </w:rPr>
        <w:t>项目药学实施人员具有药学（或中药学）相关专业且具备PMP项目管理工程师、具有处方审核能力，ITIL 4 服务管理认证。</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lang w:val="en-US" w:eastAsia="zh-CN"/>
        </w:rPr>
        <w:t>7.</w:t>
      </w:r>
      <w:r>
        <w:rPr>
          <w:rFonts w:hint="eastAsia" w:ascii="黑体" w:hAnsi="黑体" w:eastAsia="黑体" w:cs="宋体"/>
          <w:szCs w:val="21"/>
        </w:rPr>
        <w:t>对用户的培训要求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firstLine="440" w:firstLineChars="200"/>
        <w:jc w:val="left"/>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1）</w:t>
      </w:r>
      <w:r>
        <w:rPr>
          <w:rFonts w:hint="eastAsia" w:ascii="黑体" w:hAnsi="黑体" w:eastAsia="黑体" w:cs="宋体"/>
          <w:kern w:val="0"/>
          <w:sz w:val="22"/>
          <w:szCs w:val="21"/>
          <w:lang w:val="zh-CN" w:eastAsia="zh-CN" w:bidi="zh-CN"/>
        </w:rPr>
        <w:t>从合同签订开始，</w:t>
      </w:r>
      <w:r>
        <w:rPr>
          <w:rFonts w:hint="eastAsia" w:ascii="黑体" w:hAnsi="黑体" w:eastAsia="黑体" w:cs="宋体"/>
          <w:kern w:val="0"/>
          <w:sz w:val="22"/>
          <w:szCs w:val="21"/>
          <w:lang w:val="en-US" w:eastAsia="zh-CN" w:bidi="zh-CN"/>
        </w:rPr>
        <w:t>乙方</w:t>
      </w:r>
      <w:r>
        <w:rPr>
          <w:rFonts w:hint="eastAsia" w:ascii="黑体" w:hAnsi="黑体" w:eastAsia="黑体" w:cs="宋体"/>
          <w:kern w:val="0"/>
          <w:sz w:val="22"/>
          <w:szCs w:val="21"/>
          <w:lang w:val="zh-CN" w:eastAsia="zh-CN" w:bidi="zh-CN"/>
        </w:rPr>
        <w:t>相关技术人员免费对</w:t>
      </w:r>
      <w:r>
        <w:rPr>
          <w:rFonts w:hint="eastAsia" w:ascii="黑体" w:hAnsi="黑体" w:eastAsia="黑体" w:cs="宋体"/>
          <w:kern w:val="0"/>
          <w:sz w:val="22"/>
          <w:szCs w:val="21"/>
          <w:lang w:val="en-US" w:eastAsia="zh-CN" w:bidi="zh-CN"/>
        </w:rPr>
        <w:t>甲方</w:t>
      </w:r>
      <w:r>
        <w:rPr>
          <w:rFonts w:hint="eastAsia" w:ascii="黑体" w:hAnsi="黑体" w:eastAsia="黑体" w:cs="宋体"/>
          <w:kern w:val="0"/>
          <w:sz w:val="22"/>
          <w:szCs w:val="21"/>
          <w:lang w:val="zh-CN" w:eastAsia="zh-CN" w:bidi="zh-CN"/>
        </w:rPr>
        <w:t>应用科室骨干进行分期、分批的各种技术培训。根据不同专业、不同管理要求对科室负责人及所有上岗操作使用人员进行系统主要功能、系统操作使用方法、系统工作流程培训。通过培训，使他们较好的掌握应用软件的使用方法，熟悉系统工作流程，基本达到了数据录入准确、及时、迅速的要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firstLine="440" w:firstLineChars="200"/>
        <w:jc w:val="left"/>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2）</w:t>
      </w:r>
      <w:r>
        <w:rPr>
          <w:rFonts w:hint="eastAsia" w:ascii="黑体" w:hAnsi="黑体" w:eastAsia="黑体" w:cs="宋体"/>
          <w:kern w:val="0"/>
          <w:sz w:val="22"/>
          <w:szCs w:val="21"/>
          <w:lang w:val="zh-CN" w:eastAsia="zh-CN" w:bidi="zh-CN"/>
        </w:rPr>
        <w:t>培训对象包括系统管理员、管理人员、操作员(</w:t>
      </w:r>
      <w:r>
        <w:rPr>
          <w:rFonts w:hint="eastAsia" w:ascii="黑体" w:hAnsi="黑体" w:eastAsia="黑体" w:cs="宋体"/>
          <w:kern w:val="0"/>
          <w:sz w:val="22"/>
          <w:szCs w:val="21"/>
          <w:lang w:val="en-US" w:eastAsia="zh-CN" w:bidi="zh-CN"/>
        </w:rPr>
        <w:t>临床药师、药剂师</w:t>
      </w:r>
      <w:r>
        <w:rPr>
          <w:rFonts w:hint="eastAsia" w:ascii="黑体" w:hAnsi="黑体" w:eastAsia="黑体" w:cs="宋体"/>
          <w:kern w:val="0"/>
          <w:sz w:val="22"/>
          <w:szCs w:val="21"/>
          <w:lang w:val="zh-CN" w:eastAsia="zh-CN" w:bidi="zh-CN"/>
        </w:rPr>
        <w:t>)等。</w:t>
      </w:r>
    </w:p>
    <w:p>
      <w:pPr>
        <w:spacing w:line="360" w:lineRule="auto"/>
        <w:ind w:left="0" w:leftChars="0" w:right="360" w:firstLine="440" w:firstLineChars="200"/>
        <w:jc w:val="left"/>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3）</w:t>
      </w:r>
      <w:r>
        <w:rPr>
          <w:rFonts w:hint="eastAsia" w:ascii="黑体" w:hAnsi="黑体" w:eastAsia="黑体" w:cs="宋体"/>
          <w:kern w:val="0"/>
          <w:sz w:val="22"/>
          <w:szCs w:val="21"/>
          <w:lang w:val="zh-CN" w:eastAsia="zh-CN" w:bidi="zh-CN"/>
        </w:rPr>
        <w:t>培训计划:包括系统管理员的培训、操作骨干的培训和操作人员的培训方法和内容。</w:t>
      </w:r>
    </w:p>
    <w:p>
      <w:pPr>
        <w:spacing w:line="360" w:lineRule="auto"/>
        <w:ind w:right="360" w:firstLine="440" w:firstLineChars="200"/>
        <w:rPr>
          <w:rFonts w:hint="eastAsia" w:ascii="黑体" w:hAnsi="黑体" w:eastAsia="黑体" w:cs="宋体"/>
          <w:szCs w:val="21"/>
        </w:rPr>
      </w:pPr>
      <w:r>
        <w:rPr>
          <w:rFonts w:hint="eastAsia" w:ascii="黑体" w:hAnsi="黑体" w:eastAsia="黑体" w:cs="宋体"/>
          <w:szCs w:val="21"/>
        </w:rPr>
        <w:t>（二）乙方的权利和义务</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1.乙方有权要求甲方根据项目实施计划组织相关的培训、工作协调会议和做好网络开通的各项准备工作。</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2.乙方应严格按照项目实施计划执行。</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3.乙方在收到甲方的需求和功能修改通知后，应及时安排人员进行软件</w:t>
      </w:r>
      <w:r>
        <w:rPr>
          <w:rFonts w:hint="eastAsia" w:ascii="黑体" w:hAnsi="黑体" w:eastAsia="黑体" w:cs="宋体"/>
          <w:szCs w:val="21"/>
          <w:lang w:val="en-US" w:eastAsia="zh-CN"/>
        </w:rPr>
        <w:t>研</w:t>
      </w:r>
      <w:r>
        <w:rPr>
          <w:rFonts w:hint="eastAsia" w:ascii="黑体" w:hAnsi="黑体" w:eastAsia="黑体" w:cs="宋体"/>
          <w:szCs w:val="21"/>
        </w:rPr>
        <w:t>发、测试，进度依实施计划要求。</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4.乙方应向甲方提供与应用软件系统有关的用户应用文档，包括操作使用说明书、系统维护手册、客户化修改记录等，所有的文档应与最新的软件系统一致。</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5.乙方应对甲方在应用软件的使用过程中编制及积累的数据、专业资料、医院运作方式保密，不能进行有损甲方形象、声誉、安全等危害甲方利益的行为。</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6.如因不可抗拒外力、国家法规政策变更导致软件功能需求变化或无法按期完成，乙方不承担违约责任，所涉及的事宜由双方协商解决。</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7.乙方承诺应用软件在同一版本子系统内免费升级。在系统未验收期间和免费维护期内，乙方免费提供软件修改服务。</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合同期限及售后</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1.完工期：合同签订生效之日起</w:t>
      </w:r>
      <w:r>
        <w:rPr>
          <w:rFonts w:hint="eastAsia" w:ascii="黑体" w:hAnsi="黑体" w:eastAsia="黑体" w:cs="宋体"/>
          <w:szCs w:val="21"/>
          <w:lang w:val="en-US" w:eastAsia="zh-CN"/>
        </w:rPr>
        <w:t xml:space="preserve"> </w:t>
      </w:r>
      <w:r>
        <w:rPr>
          <w:rFonts w:hint="eastAsia" w:ascii="黑体" w:hAnsi="黑体" w:eastAsia="黑体" w:cs="宋体"/>
          <w:szCs w:val="21"/>
          <w:u w:val="single"/>
        </w:rPr>
        <w:t>6</w:t>
      </w:r>
      <w:r>
        <w:rPr>
          <w:rFonts w:hint="eastAsia" w:ascii="黑体" w:hAnsi="黑体" w:eastAsia="黑体" w:cs="宋体"/>
          <w:szCs w:val="21"/>
          <w:u w:val="single"/>
          <w:lang w:val="en-US" w:eastAsia="zh-CN"/>
        </w:rPr>
        <w:t xml:space="preserve"> </w:t>
      </w:r>
      <w:r>
        <w:rPr>
          <w:rFonts w:hint="eastAsia" w:ascii="黑体" w:hAnsi="黑体" w:eastAsia="黑体" w:cs="宋体"/>
          <w:szCs w:val="21"/>
        </w:rPr>
        <w:t>个月内完成系统上线。</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2.售后服务：</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0" w:leftChars="0" w:right="110" w:rightChars="50" w:firstLine="440" w:firstLineChars="200"/>
        <w:jc w:val="left"/>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1.</w:t>
      </w:r>
      <w:r>
        <w:rPr>
          <w:rFonts w:hint="eastAsia" w:ascii="黑体" w:hAnsi="黑体" w:eastAsia="黑体" w:cs="宋体"/>
          <w:kern w:val="0"/>
          <w:sz w:val="22"/>
          <w:szCs w:val="21"/>
          <w:lang w:val="zh-CN" w:eastAsia="zh-CN" w:bidi="zh-CN"/>
        </w:rPr>
        <w:t>拥有专业的技术支持团队以及药学服务团队，能够对产品的后期运维提供支持</w:t>
      </w:r>
      <w:r>
        <w:rPr>
          <w:rFonts w:hint="eastAsia" w:ascii="黑体" w:hAnsi="黑体" w:eastAsia="黑体" w:cs="宋体"/>
          <w:kern w:val="0"/>
          <w:sz w:val="22"/>
          <w:szCs w:val="21"/>
          <w:lang w:val="en-US" w:eastAsia="zh-CN" w:bidi="zh-CN"/>
        </w:rPr>
        <w:t>:</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0" w:leftChars="0" w:right="110" w:rightChars="50" w:firstLine="440" w:firstLineChars="200"/>
        <w:jc w:val="left"/>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2.</w:t>
      </w:r>
      <w:r>
        <w:rPr>
          <w:rFonts w:hint="eastAsia" w:ascii="黑体" w:hAnsi="黑体" w:eastAsia="黑体" w:cs="宋体"/>
          <w:kern w:val="0"/>
          <w:sz w:val="22"/>
          <w:szCs w:val="21"/>
          <w:lang w:val="zh-CN" w:eastAsia="zh-CN" w:bidi="zh-CN"/>
        </w:rPr>
        <w:t>详细的服务计划和服务承诺。在服务计划中要从服务人员配置、服务流程、服务文档种类、服务响应时间等几个方面进行明确的说明。</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0" w:leftChars="0" w:right="110" w:rightChars="50" w:firstLine="440" w:firstLineChars="200"/>
        <w:jc w:val="left"/>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3.</w:t>
      </w:r>
      <w:r>
        <w:rPr>
          <w:rFonts w:hint="eastAsia" w:ascii="黑体" w:hAnsi="黑体" w:eastAsia="黑体" w:cs="宋体"/>
          <w:kern w:val="0"/>
          <w:sz w:val="22"/>
          <w:szCs w:val="21"/>
          <w:lang w:val="zh-CN" w:eastAsia="zh-CN" w:bidi="zh-CN"/>
        </w:rPr>
        <w:t>提供一年质量保证期的免费维护和技术支持，质量保证期从系统最终验收之日起计算。</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0" w:leftChars="0" w:right="110" w:rightChars="50" w:firstLine="440" w:firstLineChars="200"/>
        <w:jc w:val="left"/>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4.</w:t>
      </w:r>
      <w:r>
        <w:rPr>
          <w:rFonts w:hint="eastAsia" w:ascii="黑体" w:hAnsi="黑体" w:eastAsia="黑体" w:cs="宋体"/>
          <w:kern w:val="0"/>
          <w:sz w:val="22"/>
          <w:szCs w:val="21"/>
          <w:lang w:val="zh-CN" w:eastAsia="zh-CN" w:bidi="zh-CN"/>
        </w:rPr>
        <w:t>同时具有7×24小时的技术支持能力以及优先服务级别。</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0" w:leftChars="0" w:right="110" w:rightChars="50" w:firstLine="440" w:firstLineChars="200"/>
        <w:jc w:val="left"/>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5.</w:t>
      </w:r>
      <w:r>
        <w:rPr>
          <w:rFonts w:hint="eastAsia" w:ascii="黑体" w:hAnsi="黑体" w:eastAsia="黑体" w:cs="宋体"/>
          <w:kern w:val="0"/>
          <w:sz w:val="22"/>
          <w:szCs w:val="21"/>
          <w:lang w:val="zh-CN" w:eastAsia="zh-CN" w:bidi="zh-CN"/>
        </w:rPr>
        <w:t>技术支持的方式包括：电话技术服务（如：提供免费技术服务热线）、现场技术服务、定期巡查服务等。</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0" w:leftChars="0" w:right="110" w:rightChars="50" w:firstLine="440" w:firstLineChars="200"/>
        <w:jc w:val="left"/>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6.</w:t>
      </w:r>
      <w:r>
        <w:rPr>
          <w:rFonts w:hint="eastAsia" w:ascii="黑体" w:hAnsi="黑体" w:eastAsia="黑体" w:cs="宋体"/>
          <w:kern w:val="0"/>
          <w:sz w:val="22"/>
          <w:szCs w:val="21"/>
          <w:lang w:val="zh-CN" w:eastAsia="zh-CN" w:bidi="zh-CN"/>
        </w:rPr>
        <w:t>质量保证期内，由于在系统设计、开发等技术和质量问题而产生故障影响系统正常运转，以及用户无法处理的主要问题，免费提供维护服务，及时解决系统中存在的各种问题和应用问题。</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付款方式</w:t>
      </w:r>
    </w:p>
    <w:p>
      <w:pPr>
        <w:keepNext w:val="0"/>
        <w:keepLines w:val="0"/>
        <w:pageBreakBefore w:val="0"/>
        <w:kinsoku/>
        <w:wordWrap/>
        <w:overflowPunct/>
        <w:topLinePunct w:val="0"/>
        <w:autoSpaceDE w:val="0"/>
        <w:autoSpaceDN w:val="0"/>
        <w:bidi w:val="0"/>
        <w:adjustRightInd/>
        <w:snapToGrid/>
        <w:spacing w:line="360" w:lineRule="auto"/>
        <w:ind w:left="660" w:leftChars="150" w:hanging="330" w:hangingChars="150"/>
        <w:textAlignment w:val="auto"/>
        <w:rPr>
          <w:rFonts w:hint="eastAsia" w:ascii="黑体" w:hAnsi="黑体" w:eastAsia="黑体" w:cs="宋体"/>
          <w:kern w:val="0"/>
          <w:sz w:val="22"/>
          <w:szCs w:val="21"/>
          <w:lang w:val="en-US" w:eastAsia="zh-CN" w:bidi="zh-CN"/>
        </w:rPr>
      </w:pPr>
      <w:r>
        <w:rPr>
          <w:rFonts w:hint="eastAsia" w:ascii="黑体" w:hAnsi="黑体" w:eastAsia="黑体" w:cs="宋体"/>
          <w:kern w:val="0"/>
          <w:sz w:val="22"/>
          <w:szCs w:val="21"/>
          <w:lang w:val="en-US" w:eastAsia="zh-CN" w:bidi="zh-CN"/>
        </w:rPr>
        <w:t>1、1期：支付比例30%,签订采购合同后30个工作日内，甲方向乙方一次性支付合同总额的30%。</w:t>
      </w:r>
    </w:p>
    <w:p>
      <w:pPr>
        <w:keepNext w:val="0"/>
        <w:keepLines w:val="0"/>
        <w:pageBreakBefore w:val="0"/>
        <w:kinsoku/>
        <w:wordWrap/>
        <w:overflowPunct/>
        <w:topLinePunct w:val="0"/>
        <w:autoSpaceDE w:val="0"/>
        <w:autoSpaceDN w:val="0"/>
        <w:bidi w:val="0"/>
        <w:adjustRightInd/>
        <w:snapToGrid/>
        <w:spacing w:line="360" w:lineRule="auto"/>
        <w:ind w:left="660" w:leftChars="150" w:hanging="330" w:hangingChars="150"/>
        <w:textAlignment w:val="auto"/>
        <w:rPr>
          <w:rFonts w:hint="eastAsia" w:ascii="黑体" w:hAnsi="黑体" w:eastAsia="黑体" w:cs="宋体"/>
          <w:kern w:val="0"/>
          <w:sz w:val="22"/>
          <w:szCs w:val="21"/>
          <w:lang w:val="en-US" w:eastAsia="zh-CN" w:bidi="zh-CN"/>
        </w:rPr>
      </w:pPr>
      <w:r>
        <w:rPr>
          <w:rFonts w:hint="eastAsia" w:ascii="黑体" w:hAnsi="黑体" w:eastAsia="黑体" w:cs="宋体"/>
          <w:kern w:val="0"/>
          <w:sz w:val="22"/>
          <w:szCs w:val="21"/>
          <w:lang w:val="en-US" w:eastAsia="zh-CN" w:bidi="zh-CN"/>
        </w:rPr>
        <w:t>2、2期：支付比例60%,上线稳定运行3个月后，甲方向乙方支付合同总额的60%。</w:t>
      </w:r>
    </w:p>
    <w:p>
      <w:pPr>
        <w:keepNext w:val="0"/>
        <w:keepLines w:val="0"/>
        <w:pageBreakBefore w:val="0"/>
        <w:kinsoku/>
        <w:wordWrap/>
        <w:overflowPunct/>
        <w:topLinePunct w:val="0"/>
        <w:autoSpaceDE w:val="0"/>
        <w:autoSpaceDN w:val="0"/>
        <w:bidi w:val="0"/>
        <w:adjustRightInd/>
        <w:snapToGrid/>
        <w:spacing w:line="240" w:lineRule="auto"/>
        <w:ind w:left="660" w:leftChars="150" w:hanging="330" w:hangingChars="150"/>
        <w:textAlignment w:val="auto"/>
        <w:rPr>
          <w:rFonts w:hint="eastAsia" w:ascii="黑体" w:hAnsi="黑体" w:eastAsia="黑体" w:cs="宋体"/>
          <w:kern w:val="0"/>
          <w:sz w:val="22"/>
          <w:szCs w:val="21"/>
          <w:lang w:val="zh-CN" w:eastAsia="zh-CN" w:bidi="zh-CN"/>
        </w:rPr>
      </w:pPr>
      <w:r>
        <w:rPr>
          <w:rFonts w:hint="eastAsia" w:ascii="黑体" w:hAnsi="黑体" w:eastAsia="黑体" w:cs="宋体"/>
          <w:kern w:val="0"/>
          <w:sz w:val="22"/>
          <w:szCs w:val="21"/>
          <w:lang w:val="en-US" w:eastAsia="zh-CN" w:bidi="zh-CN"/>
        </w:rPr>
        <w:t>3、3期：支付比例10%,项目通过甲方验收合格后，甲方在一个月内，甲方向乙方支付合同总额余下10%尾款。</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违约责任</w:t>
      </w:r>
    </w:p>
    <w:p>
      <w:pPr>
        <w:spacing w:line="360" w:lineRule="auto"/>
        <w:ind w:right="360" w:firstLine="440" w:firstLineChars="200"/>
        <w:jc w:val="left"/>
        <w:rPr>
          <w:rFonts w:hint="eastAsia" w:ascii="黑体" w:hAnsi="黑体" w:eastAsia="黑体" w:cs="宋体"/>
          <w:szCs w:val="21"/>
          <w:lang w:val="zh-CN" w:eastAsia="zh-CN"/>
        </w:rPr>
      </w:pPr>
      <w:r>
        <w:rPr>
          <w:rFonts w:hint="eastAsia" w:ascii="黑体" w:hAnsi="黑体" w:eastAsia="黑体" w:cs="宋体"/>
          <w:szCs w:val="21"/>
          <w:lang w:val="zh-CN" w:eastAsia="zh-CN"/>
        </w:rPr>
        <w:t>1.乙方交付的产品或提供的服务不符合本合同规定的，甲方有权拒收，并且乙方须向甲方支付本合同总价10%的违约金。</w:t>
      </w:r>
    </w:p>
    <w:p>
      <w:pPr>
        <w:spacing w:line="360" w:lineRule="auto"/>
        <w:ind w:right="360" w:firstLine="440" w:firstLineChars="200"/>
        <w:jc w:val="left"/>
        <w:rPr>
          <w:rFonts w:hint="eastAsia" w:ascii="黑体" w:hAnsi="黑体" w:eastAsia="黑体" w:cs="宋体"/>
          <w:szCs w:val="21"/>
          <w:lang w:val="zh-CN" w:eastAsia="zh-CN"/>
        </w:rPr>
      </w:pPr>
      <w:r>
        <w:rPr>
          <w:rFonts w:hint="eastAsia" w:ascii="黑体" w:hAnsi="黑体" w:eastAsia="黑体" w:cs="宋体"/>
          <w:szCs w:val="21"/>
          <w:lang w:val="zh-CN" w:eastAsia="zh-CN"/>
        </w:rPr>
        <w:t>2.乙方未能按本合同规定的交货时间交付产品或提供服务，从逾期之日起每日按本合同总价1‰的数额向甲方支付违约金；逾期一个月以上且未采取任何解决措施的，甲方有权终止合同，由此造成的甲方经济损失由乙方承担。</w:t>
      </w:r>
    </w:p>
    <w:p>
      <w:pPr>
        <w:spacing w:line="360" w:lineRule="auto"/>
        <w:ind w:right="360" w:firstLine="440" w:firstLineChars="200"/>
        <w:jc w:val="left"/>
        <w:rPr>
          <w:rFonts w:hint="eastAsia" w:ascii="黑体" w:hAnsi="黑体" w:eastAsia="黑体" w:cs="宋体"/>
          <w:szCs w:val="21"/>
          <w:lang w:val="zh-CN" w:eastAsia="zh-CN"/>
        </w:rPr>
      </w:pPr>
      <w:r>
        <w:rPr>
          <w:rFonts w:hint="eastAsia" w:ascii="黑体" w:hAnsi="黑体" w:eastAsia="黑体" w:cs="宋体"/>
          <w:szCs w:val="21"/>
          <w:lang w:val="zh-CN" w:eastAsia="zh-CN"/>
        </w:rPr>
        <w:t>3.甲方无正当理由拒收产品/接受服务，到期拒付服务款项的，甲方向乙方偿付本合同总价的3%的违约金。甲方逾期付款，每逾期一日按本合同总价的1‰向乙方偿付违约金。</w:t>
      </w:r>
    </w:p>
    <w:p>
      <w:pPr>
        <w:spacing w:line="360" w:lineRule="auto"/>
        <w:ind w:right="360" w:firstLine="440" w:firstLineChars="200"/>
        <w:jc w:val="left"/>
        <w:rPr>
          <w:rFonts w:hint="eastAsia" w:ascii="黑体" w:hAnsi="黑体" w:eastAsia="黑体" w:cs="宋体"/>
          <w:szCs w:val="21"/>
          <w:lang w:val="zh-CN" w:eastAsia="zh-CN"/>
        </w:rPr>
      </w:pPr>
      <w:r>
        <w:rPr>
          <w:rFonts w:hint="eastAsia" w:ascii="黑体" w:hAnsi="黑体" w:eastAsia="黑体" w:cs="宋体"/>
          <w:szCs w:val="21"/>
          <w:lang w:val="zh-CN" w:eastAsia="zh-CN"/>
        </w:rPr>
        <w:t>4.其它违约责任按《民法典》处理。</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争议的解决</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合同执行过程中发生的任何争议，如双方不能通过友好协商解决，任何一方均可向甲方住所地所在人民法院提起诉讼。</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不可抗力</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知识产权</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1、乙方独立开发的所有软件系统知识产权归乙方所有，甲方具有使用权；乙方为甲方进行本地化开发内容的知识产权归双方共同所有，乙方承担知识产权瑕疵担保责任。甲方在本合同范围内使用无需向乙方额外支付任何许可费用。</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2、任何一方均不可凭借本合同取得另一方所拥有的版权、专利、商标、商业秘密或任何其他知识产权等权利，且不得损害权利人的上述权益。</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税费</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在中国境内、外发生的与本合同执行有关的一切税费均由乙方负担。</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其它</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1.本合同所有附件、招标文件、投标文件、中标通知书均为合同的有效组成部分，与本合同具有同等法律效力。</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2.在执行本合同的过程中，所有经双方签署确认的文件（包括会议纪要、补充协议、往来信函）即成为本合同的有效组成部分。</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3.如一方地址、电话、传真号码有变更，应在变更当日内书面通知对方，否则，应承担相应责任。</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4.除甲方事先书面同意外，乙方不得部分或全部转让其应履行的合同项下的义务。</w:t>
      </w:r>
    </w:p>
    <w:p>
      <w:pPr>
        <w:numPr>
          <w:ilvl w:val="0"/>
          <w:numId w:val="44"/>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合同生效</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1.本合同一式四份，甲乙双方各执两份，在甲乙双方法人代表或其授权代表签字盖章后生效。</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2.本合同未尽事宜，双方可用补充合同的形式加以补充。补充合同与本合同具有同样的法律效力。</w:t>
      </w:r>
    </w:p>
    <w:p>
      <w:pPr>
        <w:spacing w:line="360" w:lineRule="auto"/>
        <w:ind w:right="360" w:firstLine="440" w:firstLineChars="200"/>
        <w:jc w:val="left"/>
        <w:rPr>
          <w:rFonts w:hint="eastAsia" w:ascii="黑体" w:hAnsi="黑体" w:eastAsia="黑体" w:cs="宋体"/>
          <w:szCs w:val="21"/>
        </w:rPr>
      </w:pPr>
    </w:p>
    <w:p>
      <w:pPr>
        <w:spacing w:line="60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甲方（盖章）：                           乙方（盖章）：</w:t>
      </w:r>
    </w:p>
    <w:p>
      <w:pPr>
        <w:spacing w:line="60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代表：                                  代表：</w:t>
      </w:r>
    </w:p>
    <w:p>
      <w:pPr>
        <w:spacing w:line="60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签定地点：</w:t>
      </w:r>
    </w:p>
    <w:p>
      <w:pPr>
        <w:spacing w:line="60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 xml:space="preserve">签定日期：        年     月    日       签定日期：     年     月     日   </w:t>
      </w:r>
    </w:p>
    <w:p>
      <w:pPr>
        <w:spacing w:line="600" w:lineRule="auto"/>
        <w:ind w:leftChars="2000" w:right="360" w:firstLine="440" w:firstLineChars="200"/>
        <w:jc w:val="both"/>
        <w:rPr>
          <w:rFonts w:hint="eastAsia" w:ascii="黑体" w:hAnsi="黑体" w:eastAsia="黑体" w:cs="宋体"/>
          <w:szCs w:val="21"/>
        </w:rPr>
      </w:pPr>
      <w:r>
        <w:rPr>
          <w:rFonts w:hint="eastAsia" w:ascii="黑体" w:hAnsi="黑体" w:eastAsia="黑体" w:cs="宋体"/>
          <w:szCs w:val="21"/>
        </w:rPr>
        <w:t>开户名称：</w:t>
      </w:r>
    </w:p>
    <w:p>
      <w:pPr>
        <w:spacing w:line="600" w:lineRule="auto"/>
        <w:ind w:leftChars="2000" w:right="360" w:firstLine="440" w:firstLineChars="200"/>
        <w:jc w:val="both"/>
        <w:rPr>
          <w:rFonts w:hint="eastAsia" w:ascii="黑体" w:hAnsi="黑体" w:eastAsia="黑体" w:cs="宋体"/>
          <w:szCs w:val="21"/>
        </w:rPr>
      </w:pPr>
      <w:r>
        <w:rPr>
          <w:rFonts w:hint="eastAsia" w:ascii="黑体" w:hAnsi="黑体" w:eastAsia="黑体" w:cs="宋体"/>
          <w:szCs w:val="21"/>
        </w:rPr>
        <w:t>银行帐号：</w:t>
      </w:r>
    </w:p>
    <w:p>
      <w:pPr>
        <w:spacing w:line="600" w:lineRule="auto"/>
        <w:ind w:leftChars="2000" w:right="360" w:firstLine="440" w:firstLineChars="200"/>
        <w:jc w:val="both"/>
        <w:rPr>
          <w:rFonts w:hint="eastAsia" w:ascii="黑体" w:hAnsi="黑体" w:eastAsia="黑体" w:cs="宋体"/>
          <w:szCs w:val="21"/>
        </w:rPr>
      </w:pPr>
      <w:r>
        <w:rPr>
          <w:rFonts w:hint="eastAsia" w:ascii="黑体" w:hAnsi="黑体" w:eastAsia="黑体" w:cs="宋体"/>
          <w:szCs w:val="21"/>
        </w:rPr>
        <w:t>开 户 行：</w:t>
      </w:r>
    </w:p>
    <w:p>
      <w:r>
        <w:br w:type="page"/>
      </w:r>
      <w:bookmarkEnd w:id="58"/>
      <w:bookmarkEnd w:id="59"/>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60" w:name="第五部分"/>
      <w:bookmarkEnd w:id="60"/>
      <w:bookmarkStart w:id="61" w:name="_Toc15078"/>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61"/>
      <w:bookmarkStart w:id="62"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62"/>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63" w:name="（本部分内容表述如与本文件其他部分表述不一致的，以其他部分的内容  表述为准。谈"/>
      <w:bookmarkEnd w:id="63"/>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pStyle w:val="21"/>
        <w:rPr>
          <w:rFonts w:hint="eastAsia"/>
        </w:rPr>
      </w:pP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3" w:type="default"/>
          <w:footerReference r:id="rId14" w:type="default"/>
          <w:pgSz w:w="11910" w:h="16840"/>
          <w:pgMar w:top="1281" w:right="981"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spacing w:before="9"/>
        <w:rPr>
          <w:rFonts w:hint="eastAsia" w:ascii="仿宋" w:hAnsi="仿宋" w:eastAsia="仿宋" w:cs="仿宋"/>
          <w:b/>
          <w:spacing w:val="0"/>
          <w:w w:val="100"/>
          <w:sz w:val="14"/>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96"/>
          <w:szCs w:val="96"/>
        </w:rPr>
      </w:pPr>
      <w:bookmarkStart w:id="64" w:name="_Toc24595"/>
      <w:r>
        <w:rPr>
          <w:rFonts w:hint="eastAsia" w:ascii="仿宋" w:hAnsi="仿宋" w:eastAsia="仿宋" w:cs="仿宋"/>
          <w:spacing w:val="0"/>
          <w:w w:val="100"/>
          <w:sz w:val="96"/>
          <w:szCs w:val="96"/>
        </w:rPr>
        <w:t>竞 争 性 谈 判</w:t>
      </w:r>
      <w:bookmarkEnd w:id="64"/>
    </w:p>
    <w:p>
      <w:pPr>
        <w:pStyle w:val="2"/>
        <w:spacing w:before="9"/>
        <w:rPr>
          <w:rFonts w:hint="eastAsia" w:ascii="仿宋" w:hAnsi="仿宋" w:eastAsia="仿宋" w:cs="仿宋"/>
          <w:b/>
          <w:spacing w:val="0"/>
          <w:w w:val="100"/>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5" w:name="竞 争 性 谈 判响"/>
      <w:bookmarkEnd w:id="65"/>
      <w:bookmarkStart w:id="66" w:name="_Toc9034"/>
      <w:bookmarkStart w:id="67" w:name="_Toc1761"/>
      <w:r>
        <w:rPr>
          <w:rFonts w:hint="eastAsia" w:ascii="仿宋" w:hAnsi="仿宋" w:eastAsia="仿宋" w:cs="仿宋"/>
          <w:spacing w:val="0"/>
          <w:w w:val="100"/>
          <w:sz w:val="72"/>
          <w:szCs w:val="72"/>
        </w:rPr>
        <w:t>响</w:t>
      </w:r>
      <w:bookmarkEnd w:id="66"/>
      <w:bookmarkEnd w:id="67"/>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8" w:name="_Toc486"/>
      <w:r>
        <w:rPr>
          <w:rFonts w:hint="eastAsia" w:ascii="仿宋" w:hAnsi="仿宋" w:eastAsia="仿宋" w:cs="仿宋"/>
          <w:spacing w:val="0"/>
          <w:w w:val="100"/>
          <w:sz w:val="72"/>
          <w:szCs w:val="72"/>
        </w:rPr>
        <w:t>应</w:t>
      </w:r>
      <w:bookmarkEnd w:id="68"/>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9" w:name="_Toc31357"/>
      <w:r>
        <w:rPr>
          <w:rFonts w:hint="eastAsia" w:ascii="仿宋" w:hAnsi="仿宋" w:eastAsia="仿宋" w:cs="仿宋"/>
          <w:spacing w:val="0"/>
          <w:w w:val="100"/>
          <w:sz w:val="72"/>
          <w:szCs w:val="72"/>
        </w:rPr>
        <w:t>文</w:t>
      </w:r>
      <w:bookmarkEnd w:id="69"/>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70" w:name="_Toc27621"/>
      <w:r>
        <w:rPr>
          <w:rFonts w:hint="eastAsia" w:ascii="仿宋" w:hAnsi="仿宋" w:eastAsia="仿宋" w:cs="仿宋"/>
          <w:spacing w:val="0"/>
          <w:w w:val="100"/>
          <w:sz w:val="72"/>
          <w:szCs w:val="72"/>
        </w:rPr>
        <w:t>件</w:t>
      </w:r>
      <w:bookmarkEnd w:id="70"/>
    </w:p>
    <w:p>
      <w:pPr>
        <w:spacing w:before="0"/>
        <w:ind w:right="119" w:firstLine="3132" w:firstLineChars="600"/>
        <w:jc w:val="both"/>
        <w:rPr>
          <w:rFonts w:hint="eastAsia" w:ascii="仿宋" w:hAnsi="仿宋" w:eastAsia="仿宋" w:cs="仿宋"/>
          <w:b/>
          <w:spacing w:val="0"/>
          <w:w w:val="100"/>
          <w:sz w:val="52"/>
        </w:rPr>
      </w:pPr>
      <w:r>
        <w:rPr>
          <w:rFonts w:hint="eastAsia" w:ascii="仿宋" w:hAnsi="仿宋" w:eastAsia="仿宋" w:cs="仿宋"/>
          <w:b/>
          <w:spacing w:val="0"/>
          <w:w w:val="100"/>
          <w:sz w:val="52"/>
        </w:rPr>
        <w:t>（正本/副本）</w:t>
      </w:r>
    </w:p>
    <w:p>
      <w:pPr>
        <w:pStyle w:val="2"/>
        <w:rPr>
          <w:rFonts w:hint="eastAsia" w:ascii="仿宋" w:hAnsi="仿宋" w:eastAsia="仿宋" w:cs="仿宋"/>
          <w:b/>
          <w:spacing w:val="0"/>
          <w:w w:val="100"/>
          <w:sz w:val="52"/>
        </w:rPr>
      </w:pPr>
    </w:p>
    <w:p>
      <w:pPr>
        <w:pStyle w:val="2"/>
        <w:spacing w:before="10"/>
        <w:rPr>
          <w:rFonts w:hint="eastAsia" w:ascii="仿宋" w:hAnsi="仿宋" w:eastAsia="仿宋" w:cs="仿宋"/>
          <w:b/>
          <w:spacing w:val="0"/>
          <w:w w:val="100"/>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bookmarkStart w:id="71" w:name="采购项目编号：                            项目名称："/>
      <w:bookmarkEnd w:id="71"/>
      <w:r>
        <w:rPr>
          <w:rFonts w:hint="eastAsia" w:ascii="仿宋" w:hAnsi="仿宋" w:eastAsia="仿宋" w:cs="仿宋"/>
          <w:spacing w:val="0"/>
          <w:w w:val="100"/>
        </w:rPr>
        <w:t>项目编号：</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r>
        <w:rPr>
          <w:rFonts w:hint="eastAsia" w:ascii="仿宋" w:hAnsi="仿宋" w:eastAsia="仿宋" w:cs="仿宋"/>
          <w:spacing w:val="0"/>
          <w:w w:val="100"/>
        </w:rPr>
        <w:t>项目名称：</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r>
        <w:rPr>
          <w:rFonts w:hint="eastAsia" w:ascii="仿宋" w:hAnsi="仿宋" w:eastAsia="仿宋" w:cs="仿宋"/>
          <w:spacing w:val="0"/>
          <w:w w:val="100"/>
        </w:rPr>
        <w:t>响应供应商名称：</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日</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spacing w:before="10"/>
        <w:rPr>
          <w:rFonts w:hint="eastAsia" w:ascii="仿宋" w:hAnsi="仿宋" w:eastAsia="仿宋" w:cs="仿宋"/>
          <w:b/>
          <w:sz w:val="19"/>
        </w:rPr>
      </w:pPr>
    </w:p>
    <w:p>
      <w:pPr>
        <w:spacing w:before="39"/>
        <w:ind w:left="1265" w:right="1285" w:firstLine="0"/>
        <w:jc w:val="center"/>
        <w:rPr>
          <w:b/>
          <w:spacing w:val="0"/>
          <w:w w:val="100"/>
          <w:sz w:val="48"/>
          <w:szCs w:val="36"/>
        </w:rPr>
      </w:pPr>
      <w:r>
        <w:rPr>
          <w:rFonts w:hint="eastAsia"/>
          <w:b/>
          <w:spacing w:val="0"/>
          <w:w w:val="100"/>
          <w:sz w:val="48"/>
          <w:szCs w:val="36"/>
          <w:lang w:val="en-US" w:eastAsia="zh-CN"/>
        </w:rPr>
        <w:t>响应</w:t>
      </w:r>
      <w:r>
        <w:rPr>
          <w:b/>
          <w:spacing w:val="0"/>
          <w:w w:val="100"/>
          <w:sz w:val="48"/>
          <w:szCs w:val="36"/>
        </w:rPr>
        <w:t>文件目录</w:t>
      </w:r>
    </w:p>
    <w:p>
      <w:pPr>
        <w:pStyle w:val="2"/>
        <w:spacing w:before="5"/>
        <w:rPr>
          <w:b/>
          <w:spacing w:val="0"/>
          <w:w w:val="100"/>
          <w:sz w:val="15"/>
        </w:rPr>
      </w:pPr>
    </w:p>
    <w:p>
      <w:pPr>
        <w:pStyle w:val="2"/>
        <w:numPr>
          <w:ilvl w:val="0"/>
          <w:numId w:val="65"/>
        </w:numPr>
        <w:spacing w:before="66" w:line="405" w:lineRule="auto"/>
        <w:ind w:right="7837"/>
        <w:rPr>
          <w:spacing w:val="0"/>
          <w:w w:val="100"/>
          <w:sz w:val="24"/>
          <w:szCs w:val="24"/>
        </w:rPr>
      </w:pPr>
      <w:r>
        <w:rPr>
          <w:spacing w:val="0"/>
          <w:w w:val="100"/>
          <w:sz w:val="24"/>
          <w:szCs w:val="24"/>
        </w:rPr>
        <w:t>自查响应表</w:t>
      </w:r>
    </w:p>
    <w:p>
      <w:pPr>
        <w:pStyle w:val="2"/>
        <w:numPr>
          <w:ilvl w:val="0"/>
          <w:numId w:val="65"/>
        </w:numPr>
        <w:spacing w:before="66" w:line="405" w:lineRule="auto"/>
        <w:ind w:right="7837"/>
        <w:rPr>
          <w:spacing w:val="0"/>
          <w:w w:val="100"/>
          <w:sz w:val="24"/>
          <w:szCs w:val="24"/>
        </w:rPr>
      </w:pPr>
      <w:r>
        <w:rPr>
          <w:spacing w:val="0"/>
          <w:w w:val="100"/>
          <w:sz w:val="24"/>
          <w:szCs w:val="24"/>
        </w:rPr>
        <w:t>价格部分</w:t>
      </w:r>
    </w:p>
    <w:p>
      <w:pPr>
        <w:pStyle w:val="2"/>
        <w:numPr>
          <w:ilvl w:val="0"/>
          <w:numId w:val="65"/>
        </w:numPr>
        <w:spacing w:before="66" w:line="405" w:lineRule="auto"/>
        <w:ind w:right="7837"/>
        <w:rPr>
          <w:spacing w:val="0"/>
          <w:w w:val="100"/>
          <w:sz w:val="24"/>
          <w:szCs w:val="24"/>
        </w:rPr>
      </w:pPr>
      <w:r>
        <w:rPr>
          <w:spacing w:val="0"/>
          <w:w w:val="100"/>
          <w:sz w:val="24"/>
          <w:szCs w:val="24"/>
        </w:rPr>
        <w:t>资格性文件</w:t>
      </w:r>
    </w:p>
    <w:p>
      <w:pPr>
        <w:pStyle w:val="2"/>
        <w:numPr>
          <w:ilvl w:val="0"/>
          <w:numId w:val="65"/>
        </w:numPr>
        <w:spacing w:before="66" w:line="405" w:lineRule="auto"/>
        <w:ind w:right="7837"/>
        <w:rPr>
          <w:spacing w:val="0"/>
          <w:w w:val="100"/>
          <w:sz w:val="24"/>
          <w:szCs w:val="24"/>
        </w:rPr>
      </w:pPr>
      <w:r>
        <w:rPr>
          <w:spacing w:val="0"/>
          <w:w w:val="100"/>
          <w:sz w:val="24"/>
          <w:szCs w:val="24"/>
        </w:rPr>
        <w:t>商务部分</w:t>
      </w:r>
    </w:p>
    <w:p>
      <w:pPr>
        <w:pStyle w:val="2"/>
        <w:numPr>
          <w:ilvl w:val="0"/>
          <w:numId w:val="65"/>
        </w:numPr>
        <w:spacing w:before="66" w:line="405" w:lineRule="auto"/>
        <w:ind w:right="7837"/>
        <w:rPr>
          <w:spacing w:val="0"/>
          <w:w w:val="100"/>
          <w:sz w:val="24"/>
          <w:szCs w:val="24"/>
        </w:rPr>
      </w:pPr>
      <w:r>
        <w:rPr>
          <w:spacing w:val="0"/>
          <w:w w:val="100"/>
          <w:sz w:val="24"/>
          <w:szCs w:val="24"/>
        </w:rPr>
        <w:t>技术部分</w:t>
      </w:r>
    </w:p>
    <w:p>
      <w:pPr>
        <w:pStyle w:val="2"/>
        <w:rPr>
          <w:spacing w:val="0"/>
          <w:w w:val="100"/>
        </w:rPr>
      </w:pPr>
    </w:p>
    <w:p>
      <w:pPr>
        <w:pStyle w:val="2"/>
        <w:spacing w:before="154" w:line="360" w:lineRule="auto"/>
        <w:ind w:right="465" w:firstLine="422" w:firstLineChars="200"/>
        <w:rPr>
          <w:spacing w:val="0"/>
          <w:w w:val="100"/>
        </w:rPr>
      </w:pPr>
      <w:r>
        <w:rPr>
          <w:b/>
          <w:spacing w:val="0"/>
          <w:w w:val="100"/>
        </w:rPr>
        <w:t>注：</w:t>
      </w:r>
      <w:r>
        <w:rPr>
          <w:spacing w:val="0"/>
          <w:w w:val="100"/>
        </w:rPr>
        <w:t>1、请</w:t>
      </w:r>
      <w:r>
        <w:rPr>
          <w:rFonts w:hint="eastAsia"/>
          <w:spacing w:val="0"/>
          <w:w w:val="100"/>
          <w:lang w:eastAsia="zh-CN"/>
        </w:rPr>
        <w:t>响应</w:t>
      </w:r>
      <w:r>
        <w:rPr>
          <w:spacing w:val="0"/>
          <w:w w:val="100"/>
        </w:rPr>
        <w:t>供应商按照以下文件要求的格式、内容、顺序制作</w:t>
      </w:r>
      <w:r>
        <w:rPr>
          <w:rFonts w:hint="eastAsia"/>
          <w:spacing w:val="0"/>
          <w:w w:val="100"/>
          <w:lang w:eastAsia="zh-CN"/>
        </w:rPr>
        <w:t>响应</w:t>
      </w:r>
      <w:r>
        <w:rPr>
          <w:spacing w:val="0"/>
          <w:w w:val="100"/>
        </w:rPr>
        <w:t>文件，并请编制目录及页码，否则将可能影响对</w:t>
      </w:r>
      <w:r>
        <w:rPr>
          <w:rFonts w:hint="eastAsia"/>
          <w:spacing w:val="0"/>
          <w:w w:val="100"/>
          <w:lang w:eastAsia="zh-CN"/>
        </w:rPr>
        <w:t>响应</w:t>
      </w:r>
      <w:r>
        <w:rPr>
          <w:spacing w:val="0"/>
          <w:w w:val="100"/>
        </w:rPr>
        <w:t>文件的评价。</w:t>
      </w:r>
    </w:p>
    <w:p>
      <w:pPr>
        <w:pStyle w:val="8"/>
        <w:spacing w:line="360" w:lineRule="auto"/>
        <w:ind w:left="0" w:leftChars="0" w:right="465" w:firstLine="440" w:firstLineChars="200"/>
        <w:jc w:val="both"/>
        <w:rPr>
          <w:spacing w:val="0"/>
          <w:w w:val="100"/>
        </w:rPr>
      </w:pPr>
      <w:r>
        <w:rPr>
          <w:spacing w:val="0"/>
          <w:w w:val="100"/>
        </w:rPr>
        <w:t>2、如</w:t>
      </w:r>
      <w:r>
        <w:rPr>
          <w:rFonts w:hint="eastAsia"/>
          <w:spacing w:val="0"/>
          <w:w w:val="100"/>
          <w:lang w:val="en-US" w:eastAsia="zh-CN"/>
        </w:rPr>
        <w:t>谈判文件</w:t>
      </w:r>
      <w:r>
        <w:rPr>
          <w:spacing w:val="0"/>
          <w:w w:val="100"/>
        </w:rPr>
        <w:t>要求提供、响应、列示的内容或</w:t>
      </w:r>
      <w:r>
        <w:rPr>
          <w:rFonts w:hint="eastAsia"/>
          <w:spacing w:val="0"/>
          <w:w w:val="100"/>
          <w:lang w:eastAsia="zh-CN"/>
        </w:rPr>
        <w:t>响应</w:t>
      </w:r>
      <w:r>
        <w:rPr>
          <w:spacing w:val="0"/>
          <w:w w:val="100"/>
        </w:rPr>
        <w:t>供应商认为有必要提供的文件、材料等而《第五</w:t>
      </w:r>
      <w:r>
        <w:rPr>
          <w:rFonts w:hint="eastAsia"/>
          <w:spacing w:val="0"/>
          <w:w w:val="100"/>
          <w:lang w:val="en-US" w:eastAsia="zh-CN"/>
        </w:rPr>
        <w:t>部分</w:t>
      </w:r>
      <w:r>
        <w:rPr>
          <w:rFonts w:hint="eastAsia"/>
          <w:spacing w:val="0"/>
          <w:w w:val="100"/>
          <w:lang w:eastAsia="zh-CN"/>
        </w:rPr>
        <w:t>响应</w:t>
      </w:r>
      <w:r>
        <w:rPr>
          <w:spacing w:val="0"/>
          <w:w w:val="100"/>
        </w:rPr>
        <w:t>文件格式》没有相应格式的，</w:t>
      </w:r>
      <w:r>
        <w:rPr>
          <w:rFonts w:hint="eastAsia"/>
          <w:spacing w:val="0"/>
          <w:w w:val="100"/>
          <w:lang w:eastAsia="zh-CN"/>
        </w:rPr>
        <w:t>响应</w:t>
      </w:r>
      <w:r>
        <w:rPr>
          <w:spacing w:val="0"/>
          <w:w w:val="100"/>
        </w:rPr>
        <w:t>供应商可自行编制格式，并加盖</w:t>
      </w:r>
      <w:r>
        <w:rPr>
          <w:rFonts w:hint="eastAsia"/>
          <w:spacing w:val="0"/>
          <w:w w:val="100"/>
          <w:lang w:eastAsia="zh-CN"/>
        </w:rPr>
        <w:t>响应</w:t>
      </w:r>
      <w:r>
        <w:rPr>
          <w:spacing w:val="0"/>
          <w:w w:val="100"/>
        </w:rPr>
        <w:t>供应商公章。</w:t>
      </w:r>
    </w:p>
    <w:p>
      <w:pPr>
        <w:pStyle w:val="2"/>
        <w:spacing w:before="2"/>
        <w:rPr>
          <w:rFonts w:hint="eastAsia" w:ascii="仿宋" w:hAnsi="仿宋" w:eastAsia="仿宋" w:cs="仿宋"/>
          <w:sz w:val="26"/>
        </w:rPr>
      </w:pPr>
    </w:p>
    <w:p>
      <w:pPr>
        <w:rPr>
          <w:rFonts w:hint="eastAsia" w:ascii="仿宋" w:hAnsi="仿宋" w:eastAsia="仿宋" w:cs="仿宋"/>
        </w:rPr>
      </w:pPr>
      <w:bookmarkStart w:id="72" w:name="说明：本报价信封仅为方便采购代理机构而设，如报价信封的内容与谈判响应文件正本不一"/>
      <w:bookmarkEnd w:id="72"/>
      <w:r>
        <w:rPr>
          <w:rFonts w:hint="eastAsia" w:ascii="仿宋" w:hAnsi="仿宋" w:eastAsia="仿宋" w:cs="仿宋"/>
        </w:rPr>
        <w:br w:type="page"/>
      </w: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bookmarkStart w:id="73" w:name="_Toc22075"/>
      <w:r>
        <w:rPr>
          <w:rFonts w:hint="eastAsia" w:ascii="楷体" w:eastAsia="楷体"/>
          <w:b/>
          <w:spacing w:val="0"/>
          <w:w w:val="100"/>
          <w:sz w:val="52"/>
        </w:rPr>
        <w:t>一、自查响应表</w:t>
      </w:r>
      <w:bookmarkEnd w:id="73"/>
    </w:p>
    <w:p>
      <w:pPr>
        <w:rPr>
          <w:rFonts w:hint="eastAsia"/>
        </w:rPr>
      </w:pPr>
    </w:p>
    <w:p>
      <w:pPr>
        <w:pStyle w:val="21"/>
        <w:rPr>
          <w:rFonts w:hint="eastAsia"/>
        </w:rPr>
      </w:pPr>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7"/>
        <w:numPr>
          <w:ilvl w:val="0"/>
          <w:numId w:val="66"/>
        </w:numPr>
        <w:tabs>
          <w:tab w:val="left" w:pos="3832"/>
        </w:tabs>
        <w:spacing w:before="62" w:after="0" w:line="240" w:lineRule="auto"/>
        <w:ind w:left="3832" w:leftChars="0" w:right="0" w:rightChars="0" w:hanging="562" w:firstLineChars="0"/>
        <w:jc w:val="left"/>
        <w:rPr>
          <w:rFonts w:hint="eastAsia" w:ascii="仿宋" w:hAnsi="仿宋" w:eastAsia="仿宋" w:cs="仿宋"/>
          <w:b/>
          <w:spacing w:val="0"/>
          <w:w w:val="100"/>
          <w:sz w:val="44"/>
          <w:szCs w:val="36"/>
        </w:rPr>
      </w:pPr>
      <w:r>
        <w:rPr>
          <w:rFonts w:hint="eastAsia" w:ascii="仿宋" w:hAnsi="仿宋" w:eastAsia="仿宋" w:cs="仿宋"/>
          <w:b/>
          <w:spacing w:val="0"/>
          <w:w w:val="100"/>
          <w:sz w:val="44"/>
          <w:szCs w:val="36"/>
        </w:rPr>
        <w:t>资格性自查表</w:t>
      </w:r>
    </w:p>
    <w:p>
      <w:pPr>
        <w:pStyle w:val="2"/>
        <w:spacing w:before="7"/>
        <w:rPr>
          <w:rFonts w:hint="eastAsia" w:ascii="仿宋" w:hAnsi="仿宋" w:eastAsia="仿宋" w:cs="仿宋"/>
          <w:b/>
          <w:spacing w:val="0"/>
          <w:w w:val="100"/>
          <w:sz w:val="10"/>
        </w:rPr>
      </w:pPr>
    </w:p>
    <w:tbl>
      <w:tblPr>
        <w:tblStyle w:val="22"/>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0"/>
        <w:gridCol w:w="5947"/>
        <w:gridCol w:w="1675"/>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序号</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谈判文件要求</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（详见《资格性评审表》所列各项）</w:t>
            </w:r>
          </w:p>
        </w:tc>
        <w:tc>
          <w:tcPr>
            <w:tcW w:w="850"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自查结论</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1</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2</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3</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4</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5</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6</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7</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仿宋" w:hAnsi="仿宋" w:eastAsia="仿宋" w:cs="仿宋"/>
                <w:spacing w:val="0"/>
                <w:w w:val="100"/>
                <w:sz w:val="20"/>
                <w:szCs w:val="22"/>
                <w:lang w:val="en-US" w:eastAsia="zh-CN" w:bidi="zh-CN"/>
              </w:rPr>
            </w:pPr>
            <w:r>
              <w:rPr>
                <w:rFonts w:hint="eastAsia" w:ascii="仿宋" w:hAnsi="仿宋" w:eastAsia="仿宋" w:cs="仿宋"/>
                <w:spacing w:val="0"/>
                <w:w w:val="100"/>
                <w:sz w:val="20"/>
                <w:szCs w:val="22"/>
                <w:lang w:val="en-US" w:eastAsia="zh-CN" w:bidi="zh-CN"/>
              </w:rPr>
              <w:t>8</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leftChars="0" w:right="0" w:rightChars="0"/>
              <w:jc w:val="left"/>
              <w:textAlignment w:val="auto"/>
              <w:rPr>
                <w:rFonts w:hint="eastAsia" w:ascii="仿宋" w:hAnsi="仿宋" w:eastAsia="仿宋" w:cs="仿宋"/>
                <w:spacing w:val="0"/>
                <w:w w:val="100"/>
                <w:sz w:val="20"/>
                <w:szCs w:val="22"/>
                <w:lang w:val="zh-CN" w:eastAsia="zh-CN" w:bidi="zh-CN"/>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leftChars="0" w:right="0" w:rightChars="0"/>
              <w:jc w:val="center"/>
              <w:textAlignment w:val="auto"/>
              <w:rPr>
                <w:rFonts w:hint="eastAsia" w:ascii="仿宋" w:hAnsi="仿宋" w:eastAsia="仿宋" w:cs="仿宋"/>
                <w:spacing w:val="0"/>
                <w:w w:val="100"/>
                <w:sz w:val="21"/>
                <w:szCs w:val="22"/>
                <w:lang w:val="zh-CN" w:eastAsia="zh-CN" w:bidi="zh-CN"/>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leftChars="0" w:right="0" w:rightChars="0"/>
              <w:jc w:val="center"/>
              <w:textAlignment w:val="auto"/>
              <w:rPr>
                <w:rFonts w:hint="eastAsia" w:ascii="仿宋" w:hAnsi="仿宋" w:eastAsia="仿宋" w:cs="仿宋"/>
                <w:spacing w:val="0"/>
                <w:w w:val="100"/>
                <w:sz w:val="21"/>
                <w:szCs w:val="22"/>
                <w:lang w:val="zh-CN" w:eastAsia="zh-CN" w:bidi="zh-CN"/>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仿宋" w:hAnsi="仿宋" w:eastAsia="仿宋" w:cs="仿宋"/>
                <w:spacing w:val="0"/>
                <w:w w:val="100"/>
                <w:sz w:val="20"/>
                <w:szCs w:val="22"/>
                <w:lang w:val="en-US" w:eastAsia="zh-CN" w:bidi="zh-CN"/>
              </w:rPr>
            </w:pPr>
            <w:r>
              <w:rPr>
                <w:rFonts w:hint="eastAsia" w:ascii="仿宋" w:hAnsi="仿宋" w:eastAsia="仿宋" w:cs="仿宋"/>
                <w:spacing w:val="0"/>
                <w:w w:val="100"/>
                <w:sz w:val="20"/>
                <w:szCs w:val="22"/>
                <w:lang w:val="en-US" w:eastAsia="zh-CN" w:bidi="zh-CN"/>
              </w:rPr>
              <w:t>9</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leftChars="0" w:right="0" w:rightChars="0"/>
              <w:jc w:val="left"/>
              <w:textAlignment w:val="auto"/>
              <w:rPr>
                <w:rFonts w:hint="eastAsia" w:ascii="仿宋" w:hAnsi="仿宋" w:eastAsia="仿宋" w:cs="仿宋"/>
                <w:spacing w:val="0"/>
                <w:w w:val="100"/>
                <w:sz w:val="20"/>
                <w:szCs w:val="22"/>
                <w:lang w:val="zh-CN" w:eastAsia="zh-CN" w:bidi="zh-CN"/>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leftChars="0" w:right="0" w:rightChars="0"/>
              <w:jc w:val="center"/>
              <w:textAlignment w:val="auto"/>
              <w:rPr>
                <w:rFonts w:hint="eastAsia" w:ascii="仿宋" w:hAnsi="仿宋" w:eastAsia="仿宋" w:cs="仿宋"/>
                <w:spacing w:val="0"/>
                <w:w w:val="100"/>
                <w:sz w:val="21"/>
                <w:szCs w:val="22"/>
                <w:lang w:val="zh-CN" w:eastAsia="zh-CN" w:bidi="zh-CN"/>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leftChars="0" w:right="0" w:rightChars="0"/>
              <w:jc w:val="center"/>
              <w:textAlignment w:val="auto"/>
              <w:rPr>
                <w:rFonts w:hint="eastAsia" w:ascii="仿宋" w:hAnsi="仿宋" w:eastAsia="仿宋" w:cs="仿宋"/>
                <w:spacing w:val="0"/>
                <w:w w:val="100"/>
                <w:sz w:val="21"/>
                <w:szCs w:val="22"/>
                <w:lang w:val="zh-CN" w:eastAsia="zh-CN" w:bidi="zh-CN"/>
              </w:rPr>
            </w:pPr>
            <w:r>
              <w:rPr>
                <w:rFonts w:hint="eastAsia" w:ascii="仿宋" w:hAnsi="仿宋" w:eastAsia="仿宋" w:cs="仿宋"/>
                <w:spacing w:val="0"/>
                <w:w w:val="100"/>
                <w:sz w:val="21"/>
              </w:rPr>
              <w:t>第（）页</w:t>
            </w:r>
          </w:p>
        </w:tc>
      </w:tr>
    </w:tbl>
    <w:p>
      <w:pPr>
        <w:pStyle w:val="2"/>
        <w:spacing w:before="99" w:line="422" w:lineRule="auto"/>
        <w:ind w:left="318" w:right="476"/>
        <w:jc w:val="both"/>
        <w:rPr>
          <w:rFonts w:hint="eastAsia" w:ascii="仿宋" w:hAnsi="仿宋" w:eastAsia="仿宋" w:cs="仿宋"/>
          <w:spacing w:val="0"/>
          <w:w w:val="100"/>
        </w:rPr>
      </w:pPr>
      <w:r>
        <w:rPr>
          <w:rFonts w:hint="eastAsia" w:ascii="仿宋" w:hAnsi="仿宋" w:eastAsia="仿宋" w:cs="仿宋"/>
          <w:spacing w:val="0"/>
          <w:w w:val="100"/>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pacing w:val="0"/>
          <w:w w:val="1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spacing w:after="0"/>
        <w:rPr>
          <w:rFonts w:hint="eastAsia" w:ascii="仿宋" w:hAnsi="仿宋" w:eastAsia="仿宋" w:cs="仿宋"/>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7"/>
        <w:numPr>
          <w:ilvl w:val="0"/>
          <w:numId w:val="66"/>
        </w:numPr>
        <w:tabs>
          <w:tab w:val="left" w:pos="3832"/>
        </w:tabs>
        <w:spacing w:before="62" w:after="0" w:line="240" w:lineRule="auto"/>
        <w:ind w:left="3832" w:leftChars="0" w:right="0" w:rightChars="0" w:hanging="562" w:firstLineChars="0"/>
        <w:jc w:val="left"/>
        <w:rPr>
          <w:rFonts w:hint="eastAsia" w:ascii="仿宋" w:hAnsi="仿宋" w:eastAsia="仿宋" w:cs="仿宋"/>
          <w:b/>
          <w:spacing w:val="0"/>
          <w:w w:val="100"/>
          <w:sz w:val="44"/>
          <w:szCs w:val="36"/>
        </w:rPr>
      </w:pPr>
      <w:bookmarkStart w:id="74" w:name="1.2 符合性自查表"/>
      <w:bookmarkEnd w:id="74"/>
      <w:bookmarkStart w:id="75" w:name="1.2 符合性自查表"/>
      <w:bookmarkEnd w:id="75"/>
      <w:r>
        <w:rPr>
          <w:rFonts w:hint="eastAsia" w:ascii="仿宋" w:hAnsi="仿宋" w:eastAsia="仿宋" w:cs="仿宋"/>
          <w:b/>
          <w:spacing w:val="0"/>
          <w:w w:val="100"/>
          <w:sz w:val="44"/>
          <w:szCs w:val="36"/>
          <w:lang w:val="en-US" w:eastAsia="zh-CN"/>
        </w:rPr>
        <w:t>符合</w:t>
      </w:r>
      <w:r>
        <w:rPr>
          <w:rFonts w:hint="eastAsia" w:ascii="仿宋" w:hAnsi="仿宋" w:eastAsia="仿宋" w:cs="仿宋"/>
          <w:b/>
          <w:spacing w:val="0"/>
          <w:w w:val="100"/>
          <w:sz w:val="44"/>
          <w:szCs w:val="36"/>
        </w:rPr>
        <w:t>性自查表</w:t>
      </w:r>
    </w:p>
    <w:p>
      <w:pPr>
        <w:pStyle w:val="2"/>
        <w:spacing w:before="7"/>
        <w:rPr>
          <w:rFonts w:hint="eastAsia" w:ascii="仿宋" w:hAnsi="仿宋" w:eastAsia="仿宋" w:cs="仿宋"/>
          <w:b/>
          <w:spacing w:val="0"/>
          <w:w w:val="100"/>
          <w:sz w:val="10"/>
        </w:rPr>
      </w:pPr>
    </w:p>
    <w:tbl>
      <w:tblPr>
        <w:tblStyle w:val="22"/>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2"/>
        <w:gridCol w:w="5909"/>
        <w:gridCol w:w="1824"/>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序号</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谈判文件要求</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（详见《</w:t>
            </w:r>
            <w:r>
              <w:rPr>
                <w:rFonts w:hint="eastAsia" w:ascii="仿宋" w:hAnsi="仿宋" w:eastAsia="仿宋" w:cs="仿宋"/>
                <w:b/>
                <w:spacing w:val="0"/>
                <w:w w:val="100"/>
                <w:sz w:val="21"/>
                <w:lang w:val="en-US" w:eastAsia="zh-CN"/>
              </w:rPr>
              <w:t>符合</w:t>
            </w:r>
            <w:r>
              <w:rPr>
                <w:rFonts w:hint="eastAsia" w:ascii="仿宋" w:hAnsi="仿宋" w:eastAsia="仿宋" w:cs="仿宋"/>
                <w:b/>
                <w:spacing w:val="0"/>
                <w:w w:val="100"/>
                <w:sz w:val="21"/>
              </w:rPr>
              <w:t>性评审表》所列各项）</w:t>
            </w:r>
          </w:p>
        </w:tc>
        <w:tc>
          <w:tcPr>
            <w:tcW w:w="891"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自查结论</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1</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2</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3</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4</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5</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6</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7</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bl>
    <w:p>
      <w:pPr>
        <w:pStyle w:val="2"/>
        <w:spacing w:before="99" w:line="422" w:lineRule="auto"/>
        <w:ind w:left="318" w:right="476"/>
        <w:jc w:val="both"/>
        <w:rPr>
          <w:rFonts w:hint="eastAsia" w:ascii="仿宋" w:hAnsi="仿宋" w:eastAsia="仿宋" w:cs="仿宋"/>
          <w:spacing w:val="0"/>
          <w:w w:val="100"/>
        </w:rPr>
      </w:pPr>
      <w:r>
        <w:rPr>
          <w:rFonts w:hint="eastAsia" w:ascii="仿宋" w:hAnsi="仿宋" w:eastAsia="仿宋" w:cs="仿宋"/>
          <w:spacing w:val="0"/>
          <w:w w:val="100"/>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pacing w:val="0"/>
          <w:w w:val="1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rPr>
      </w:pPr>
      <w:r>
        <w:rPr>
          <w:rFonts w:hint="eastAsia" w:ascii="仿宋" w:hAnsi="仿宋" w:eastAsia="仿宋" w:cs="仿宋"/>
        </w:rPr>
        <w:br w:type="page"/>
      </w: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2"/>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2"/>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2"/>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2"/>
        <w:jc w:val="center"/>
        <w:rPr>
          <w:rFonts w:hint="eastAsia" w:ascii="仿宋" w:hAnsi="仿宋" w:eastAsia="仿宋" w:cs="仿宋"/>
          <w:color w:val="000000"/>
          <w:spacing w:val="0"/>
          <w:w w:val="100"/>
          <w:sz w:val="36"/>
          <w:highlight w:val="none"/>
        </w:rPr>
      </w:pPr>
    </w:p>
    <w:p>
      <w:pPr>
        <w:jc w:val="center"/>
        <w:rPr>
          <w:rFonts w:hint="eastAsia"/>
          <w:spacing w:val="0"/>
          <w:w w:val="100"/>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jc w:val="center"/>
        <w:rPr>
          <w:rFonts w:hint="eastAsia" w:ascii="楷体" w:hAnsi="宋体" w:eastAsia="楷体" w:cs="宋体"/>
          <w:b/>
          <w:spacing w:val="0"/>
          <w:w w:val="100"/>
          <w:sz w:val="52"/>
        </w:rPr>
      </w:pPr>
      <w:r>
        <w:rPr>
          <w:rFonts w:hint="eastAsia" w:ascii="楷体" w:hAnsi="宋体" w:eastAsia="楷体" w:cs="宋体"/>
          <w:b/>
          <w:spacing w:val="0"/>
          <w:w w:val="100"/>
          <w:sz w:val="52"/>
        </w:rPr>
        <w:t>二、价格部分</w:t>
      </w:r>
    </w:p>
    <w:p>
      <w:pPr>
        <w:rPr>
          <w:rFonts w:hint="eastAsia"/>
        </w:rPr>
      </w:pPr>
    </w:p>
    <w:p>
      <w:pPr>
        <w:pStyle w:val="21"/>
        <w:rPr>
          <w:rFonts w:hint="eastAsia"/>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numPr>
          <w:ilvl w:val="0"/>
          <w:numId w:val="67"/>
        </w:numPr>
        <w:spacing w:line="480" w:lineRule="exact"/>
        <w:ind w:left="425" w:leftChars="0" w:hanging="425" w:firstLineChars="0"/>
        <w:rPr>
          <w:rFonts w:hint="eastAsia" w:ascii="仿宋" w:hAnsi="仿宋" w:eastAsia="仿宋" w:cs="仿宋"/>
          <w:b/>
          <w:bCs/>
          <w:color w:val="000000"/>
          <w:spacing w:val="0"/>
          <w:w w:val="100"/>
          <w:sz w:val="44"/>
          <w:szCs w:val="44"/>
          <w:highlight w:val="none"/>
        </w:rPr>
      </w:pPr>
      <w:bookmarkStart w:id="76" w:name="二、价格部分"/>
      <w:bookmarkEnd w:id="76"/>
      <w:bookmarkStart w:id="77" w:name="_Toc42951051"/>
      <w:bookmarkStart w:id="78" w:name="_Toc25628"/>
      <w:bookmarkStart w:id="79" w:name="_Toc31955"/>
      <w:bookmarkStart w:id="80" w:name="_Toc6802"/>
      <w:bookmarkStart w:id="81" w:name="_Toc19407"/>
      <w:r>
        <w:rPr>
          <w:rFonts w:hint="eastAsia" w:ascii="仿宋" w:hAnsi="仿宋" w:eastAsia="仿宋" w:cs="仿宋"/>
          <w:b/>
          <w:bCs/>
          <w:color w:val="000000"/>
          <w:spacing w:val="0"/>
          <w:w w:val="100"/>
          <w:sz w:val="44"/>
          <w:szCs w:val="44"/>
          <w:highlight w:val="none"/>
          <w:lang w:val="en-US" w:eastAsia="zh-CN"/>
        </w:rPr>
        <w:t>首轮</w:t>
      </w:r>
      <w:r>
        <w:rPr>
          <w:rFonts w:hint="eastAsia" w:ascii="仿宋" w:hAnsi="仿宋" w:eastAsia="仿宋" w:cs="仿宋"/>
          <w:b/>
          <w:bCs/>
          <w:color w:val="000000"/>
          <w:spacing w:val="0"/>
          <w:w w:val="100"/>
          <w:sz w:val="44"/>
          <w:szCs w:val="44"/>
          <w:highlight w:val="none"/>
        </w:rPr>
        <w:t>报价总表格式</w:t>
      </w:r>
      <w:bookmarkEnd w:id="77"/>
      <w:bookmarkEnd w:id="78"/>
      <w:bookmarkEnd w:id="79"/>
      <w:bookmarkEnd w:id="80"/>
      <w:bookmarkEnd w:id="81"/>
      <w:bookmarkStart w:id="82" w:name="_Hlt10456397"/>
      <w:bookmarkEnd w:id="82"/>
    </w:p>
    <w:p>
      <w:pPr>
        <w:pStyle w:val="13"/>
        <w:spacing w:line="480" w:lineRule="exact"/>
        <w:ind w:left="440" w:leftChars="200"/>
        <w:rPr>
          <w:rFonts w:hint="eastAsia" w:ascii="仿宋" w:hAnsi="仿宋" w:eastAsia="仿宋" w:cs="仿宋"/>
          <w:b/>
          <w:color w:val="000000"/>
          <w:spacing w:val="0"/>
          <w:w w:val="100"/>
          <w:highlight w:val="none"/>
        </w:rPr>
      </w:pPr>
    </w:p>
    <w:p>
      <w:pPr>
        <w:pStyle w:val="2"/>
        <w:spacing w:before="7"/>
        <w:rPr>
          <w:rFonts w:hint="eastAsia" w:ascii="仿宋" w:hAnsi="仿宋" w:eastAsia="仿宋" w:cs="仿宋"/>
          <w:b/>
          <w:spacing w:val="0"/>
          <w:w w:val="100"/>
          <w:sz w:val="28"/>
        </w:rPr>
      </w:pPr>
      <w:bookmarkStart w:id="83" w:name="2.1.谈判报价表（首轮报价）"/>
      <w:bookmarkEnd w:id="83"/>
    </w:p>
    <w:p>
      <w:pPr>
        <w:pStyle w:val="2"/>
        <w:tabs>
          <w:tab w:val="left" w:pos="4305"/>
          <w:tab w:val="left" w:pos="6723"/>
          <w:tab w:val="left" w:pos="9445"/>
        </w:tabs>
        <w:spacing w:line="480" w:lineRule="auto"/>
        <w:ind w:left="318"/>
        <w:rPr>
          <w:rFonts w:hint="eastAsia" w:ascii="仿宋" w:hAnsi="仿宋" w:eastAsia="仿宋" w:cs="仿宋"/>
          <w:spacing w:val="0"/>
          <w:w w:val="100"/>
          <w:u w:val="single"/>
        </w:rPr>
      </w:pPr>
      <w:r>
        <w:rPr>
          <w:rFonts w:hint="eastAsia" w:ascii="仿宋" w:hAnsi="仿宋" w:eastAsia="仿宋" w:cs="仿宋"/>
          <w:spacing w:val="0"/>
          <w:w w:val="100"/>
        </w:rPr>
        <w:t>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p>
    <w:p>
      <w:pPr>
        <w:pStyle w:val="2"/>
        <w:tabs>
          <w:tab w:val="left" w:pos="4305"/>
          <w:tab w:val="left" w:pos="6723"/>
          <w:tab w:val="left" w:pos="9445"/>
        </w:tabs>
        <w:spacing w:line="480" w:lineRule="auto"/>
        <w:ind w:left="318"/>
        <w:rPr>
          <w:rFonts w:hint="eastAsia" w:ascii="仿宋" w:hAnsi="仿宋" w:eastAsia="仿宋" w:cs="仿宋"/>
          <w:spacing w:val="0"/>
          <w:w w:val="100"/>
          <w:u w:val="single"/>
          <w:lang w:val="en-US" w:eastAsia="zh-CN"/>
        </w:rPr>
      </w:pPr>
      <w:r>
        <w:rPr>
          <w:rFonts w:hint="eastAsia" w:ascii="仿宋" w:hAnsi="仿宋" w:eastAsia="仿宋" w:cs="仿宋"/>
          <w:spacing w:val="0"/>
          <w:w w:val="100"/>
        </w:rPr>
        <w:t>项目编号：</w:t>
      </w:r>
      <w:r>
        <w:rPr>
          <w:rFonts w:hint="eastAsia" w:ascii="仿宋" w:hAnsi="仿宋" w:eastAsia="仿宋" w:cs="仿宋"/>
          <w:spacing w:val="0"/>
          <w:w w:val="100"/>
          <w:u w:val="single"/>
          <w:lang w:val="en-US" w:eastAsia="zh-CN"/>
        </w:rPr>
        <w:t xml:space="preserve">                   </w:t>
      </w:r>
    </w:p>
    <w:p>
      <w:pPr>
        <w:jc w:val="center"/>
        <w:rPr>
          <w:rFonts w:hint="eastAsia" w:ascii="仿宋" w:hAnsi="仿宋" w:eastAsia="仿宋" w:cs="仿宋"/>
          <w:spacing w:val="0"/>
          <w:w w:val="100"/>
          <w:u w:val="single"/>
          <w:lang w:val="en-US" w:eastAsia="zh-CN"/>
        </w:rPr>
      </w:pPr>
      <w:r>
        <w:rPr>
          <w:spacing w:val="0"/>
          <w:w w:val="100"/>
        </w:rPr>
        <w:t>[货币单位：人民币</w:t>
      </w:r>
      <w:r>
        <w:rPr>
          <w:rFonts w:hint="eastAsia"/>
          <w:spacing w:val="0"/>
          <w:w w:val="100"/>
          <w:lang w:val="en-US" w:eastAsia="zh-CN"/>
        </w:rPr>
        <w:t>/</w:t>
      </w:r>
      <w:r>
        <w:rPr>
          <w:spacing w:val="0"/>
          <w:w w:val="100"/>
        </w:rPr>
        <w:t>元]</w:t>
      </w:r>
    </w:p>
    <w:p>
      <w:pPr>
        <w:pStyle w:val="2"/>
        <w:jc w:val="center"/>
        <w:rPr>
          <w:rFonts w:hint="eastAsia"/>
          <w:spacing w:val="0"/>
          <w:w w:val="100"/>
          <w:lang w:val="en-US" w:eastAsia="zh-CN"/>
        </w:rPr>
      </w:pP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8"/>
              <w:ind w:left="1495" w:right="1464"/>
              <w:jc w:val="center"/>
              <w:rPr>
                <w:rFonts w:hint="eastAsia" w:ascii="仿宋" w:hAnsi="仿宋" w:eastAsia="仿宋" w:cs="仿宋"/>
                <w:b/>
                <w:spacing w:val="0"/>
                <w:w w:val="100"/>
                <w:sz w:val="21"/>
              </w:rPr>
            </w:pPr>
            <w:r>
              <w:rPr>
                <w:rFonts w:hint="eastAsia" w:ascii="仿宋" w:hAnsi="仿宋" w:eastAsia="仿宋" w:cs="仿宋"/>
                <w:b/>
                <w:spacing w:val="0"/>
                <w:w w:val="100"/>
                <w:sz w:val="21"/>
              </w:rPr>
              <w:t>项目名称</w:t>
            </w:r>
          </w:p>
        </w:tc>
        <w:tc>
          <w:tcPr>
            <w:tcW w:w="5272" w:type="dxa"/>
          </w:tcPr>
          <w:p>
            <w:pPr>
              <w:pStyle w:val="28"/>
              <w:spacing w:before="8"/>
              <w:rPr>
                <w:rFonts w:hint="eastAsia" w:ascii="仿宋" w:hAnsi="仿宋" w:eastAsia="仿宋" w:cs="仿宋"/>
                <w:spacing w:val="0"/>
                <w:w w:val="100"/>
                <w:sz w:val="18"/>
              </w:rPr>
            </w:pPr>
          </w:p>
          <w:p>
            <w:pPr>
              <w:pStyle w:val="28"/>
              <w:ind w:left="2312" w:right="2061"/>
              <w:jc w:val="center"/>
              <w:rPr>
                <w:rFonts w:hint="eastAsia" w:ascii="仿宋" w:hAnsi="仿宋" w:eastAsia="仿宋" w:cs="仿宋"/>
                <w:b/>
                <w:spacing w:val="0"/>
                <w:w w:val="100"/>
                <w:sz w:val="21"/>
              </w:rPr>
            </w:pPr>
            <w:r>
              <w:rPr>
                <w:rFonts w:hint="eastAsia" w:ascii="仿宋" w:hAnsi="仿宋" w:eastAsia="仿宋" w:cs="仿宋"/>
                <w:b/>
                <w:spacing w:val="0"/>
                <w:w w:val="100"/>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8"/>
              <w:jc w:val="center"/>
              <w:rPr>
                <w:rFonts w:hint="eastAsia" w:ascii="仿宋" w:hAnsi="仿宋" w:eastAsia="仿宋" w:cs="仿宋"/>
                <w:spacing w:val="0"/>
                <w:w w:val="100"/>
                <w:sz w:val="20"/>
              </w:rPr>
            </w:pPr>
          </w:p>
        </w:tc>
        <w:tc>
          <w:tcPr>
            <w:tcW w:w="5272" w:type="dxa"/>
          </w:tcPr>
          <w:p>
            <w:pPr>
              <w:pStyle w:val="28"/>
              <w:tabs>
                <w:tab w:val="left" w:pos="1799"/>
                <w:tab w:val="left" w:pos="4162"/>
                <w:tab w:val="left" w:pos="4214"/>
              </w:tabs>
              <w:spacing w:before="163" w:line="484" w:lineRule="auto"/>
              <w:ind w:left="854" w:right="831"/>
              <w:rPr>
                <w:rFonts w:hint="eastAsia" w:ascii="仿宋" w:hAnsi="仿宋" w:eastAsia="仿宋" w:cs="仿宋"/>
                <w:spacing w:val="0"/>
                <w:w w:val="100"/>
                <w:sz w:val="21"/>
              </w:rPr>
            </w:pPr>
            <w:r>
              <w:rPr>
                <w:rFonts w:hint="eastAsia" w:ascii="仿宋" w:hAnsi="仿宋" w:eastAsia="仿宋" w:cs="仿宋"/>
                <w:spacing w:val="0"/>
                <w:w w:val="100"/>
                <w:sz w:val="21"/>
              </w:rPr>
              <w:t>小写：¥</w:t>
            </w:r>
            <w:r>
              <w:rPr>
                <w:rFonts w:hint="eastAsia" w:ascii="仿宋" w:hAnsi="仿宋" w:eastAsia="仿宋" w:cs="仿宋"/>
                <w:spacing w:val="0"/>
                <w:w w:val="100"/>
                <w:sz w:val="21"/>
                <w:u w:val="single"/>
                <w:lang w:val="en-US" w:eastAsia="zh-CN"/>
              </w:rPr>
              <w:t xml:space="preserve">                 </w:t>
            </w:r>
          </w:p>
          <w:p>
            <w:pPr>
              <w:pStyle w:val="28"/>
              <w:tabs>
                <w:tab w:val="left" w:pos="1799"/>
                <w:tab w:val="left" w:pos="4162"/>
                <w:tab w:val="left" w:pos="4214"/>
              </w:tabs>
              <w:spacing w:before="163" w:line="484" w:lineRule="auto"/>
              <w:ind w:left="854" w:right="831"/>
              <w:rPr>
                <w:rFonts w:hint="eastAsia" w:ascii="仿宋" w:hAnsi="仿宋" w:eastAsia="仿宋" w:cs="仿宋"/>
                <w:spacing w:val="0"/>
                <w:w w:val="100"/>
                <w:sz w:val="21"/>
              </w:rPr>
            </w:pPr>
            <w:r>
              <w:rPr>
                <w:rFonts w:hint="eastAsia" w:ascii="仿宋" w:hAnsi="仿宋" w:eastAsia="仿宋" w:cs="仿宋"/>
                <w:spacing w:val="0"/>
                <w:w w:val="100"/>
                <w:sz w:val="21"/>
              </w:rPr>
              <w:t>大写：人民币</w:t>
            </w:r>
            <w:r>
              <w:rPr>
                <w:rFonts w:hint="eastAsia" w:ascii="仿宋" w:hAnsi="仿宋" w:eastAsia="仿宋" w:cs="仿宋"/>
                <w:spacing w:val="0"/>
                <w:w w:val="100"/>
                <w:sz w:val="21"/>
                <w:u w:val="single"/>
                <w:lang w:val="en-US" w:eastAsia="zh-CN"/>
              </w:rPr>
              <w:t xml:space="preserve">                  </w:t>
            </w:r>
          </w:p>
        </w:tc>
      </w:tr>
    </w:tbl>
    <w:p>
      <w:pPr>
        <w:pStyle w:val="2"/>
        <w:rPr>
          <w:rFonts w:hint="eastAsia" w:ascii="仿宋" w:hAnsi="仿宋" w:eastAsia="仿宋" w:cs="仿宋"/>
          <w:spacing w:val="0"/>
          <w:w w:val="100"/>
          <w:sz w:val="22"/>
        </w:rPr>
      </w:pPr>
    </w:p>
    <w:p>
      <w:pPr>
        <w:pStyle w:val="2"/>
        <w:spacing w:before="158"/>
        <w:ind w:left="318"/>
        <w:rPr>
          <w:rFonts w:hint="eastAsia" w:ascii="仿宋" w:hAnsi="仿宋" w:eastAsia="仿宋" w:cs="仿宋"/>
          <w:spacing w:val="0"/>
          <w:w w:val="100"/>
        </w:rPr>
      </w:pPr>
      <w:r>
        <w:rPr>
          <w:rFonts w:hint="eastAsia" w:ascii="仿宋" w:hAnsi="仿宋" w:eastAsia="仿宋" w:cs="仿宋"/>
          <w:spacing w:val="0"/>
          <w:w w:val="100"/>
        </w:rPr>
        <w:t>注：</w:t>
      </w:r>
    </w:p>
    <w:p>
      <w:pPr>
        <w:pStyle w:val="2"/>
        <w:spacing w:before="11"/>
        <w:rPr>
          <w:rFonts w:hint="eastAsia" w:ascii="仿宋" w:hAnsi="仿宋" w:eastAsia="仿宋" w:cs="仿宋"/>
          <w:spacing w:val="0"/>
          <w:w w:val="100"/>
          <w:sz w:val="15"/>
        </w:rPr>
      </w:pPr>
    </w:p>
    <w:p>
      <w:pPr>
        <w:pStyle w:val="2"/>
        <w:spacing w:line="422" w:lineRule="auto"/>
        <w:ind w:left="632" w:right="435" w:hanging="317"/>
        <w:jc w:val="both"/>
        <w:rPr>
          <w:rFonts w:hint="eastAsia" w:ascii="仿宋" w:hAnsi="仿宋" w:eastAsia="仿宋" w:cs="仿宋"/>
          <w:spacing w:val="0"/>
          <w:w w:val="100"/>
          <w:lang w:eastAsia="zh-CN"/>
        </w:rPr>
      </w:pPr>
      <w:r>
        <w:rPr>
          <w:rFonts w:hint="eastAsia" w:ascii="仿宋" w:hAnsi="仿宋" w:eastAsia="仿宋" w:cs="仿宋"/>
          <w:spacing w:val="0"/>
          <w:w w:val="100"/>
          <w:lang w:val="en-US" w:eastAsia="zh-CN"/>
        </w:rPr>
        <w:t>1</w:t>
      </w:r>
      <w:r>
        <w:rPr>
          <w:rFonts w:hint="eastAsia" w:ascii="仿宋" w:hAnsi="仿宋" w:eastAsia="仿宋" w:cs="仿宋"/>
          <w:spacing w:val="0"/>
          <w:w w:val="100"/>
        </w:rPr>
        <w:t>、供应商的</w:t>
      </w:r>
      <w:r>
        <w:rPr>
          <w:rFonts w:hint="eastAsia" w:ascii="仿宋" w:hAnsi="仿宋" w:eastAsia="仿宋" w:cs="仿宋"/>
          <w:spacing w:val="0"/>
          <w:w w:val="100"/>
          <w:lang w:val="en-US" w:eastAsia="zh-CN"/>
        </w:rPr>
        <w:t>最终</w:t>
      </w:r>
      <w:r>
        <w:rPr>
          <w:rFonts w:hint="eastAsia" w:ascii="仿宋" w:hAnsi="仿宋" w:eastAsia="仿宋" w:cs="仿宋"/>
          <w:spacing w:val="0"/>
          <w:w w:val="100"/>
        </w:rPr>
        <w:t>报价为</w:t>
      </w:r>
      <w:r>
        <w:rPr>
          <w:rFonts w:hint="eastAsia" w:ascii="仿宋" w:hAnsi="仿宋" w:eastAsia="仿宋" w:cs="仿宋"/>
          <w:spacing w:val="0"/>
          <w:w w:val="100"/>
          <w:lang w:val="en-US" w:eastAsia="zh-CN"/>
        </w:rPr>
        <w:t>合同价</w:t>
      </w:r>
      <w:r>
        <w:rPr>
          <w:rFonts w:hint="eastAsia" w:ascii="仿宋" w:hAnsi="仿宋" w:eastAsia="仿宋" w:cs="仿宋"/>
          <w:spacing w:val="0"/>
          <w:w w:val="100"/>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2"/>
        <w:spacing w:before="2"/>
        <w:ind w:left="318"/>
        <w:rPr>
          <w:rFonts w:hint="eastAsia" w:ascii="仿宋" w:hAnsi="仿宋" w:eastAsia="仿宋" w:cs="仿宋"/>
          <w:spacing w:val="0"/>
          <w:w w:val="100"/>
        </w:rPr>
      </w:pPr>
      <w:r>
        <w:rPr>
          <w:rFonts w:hint="eastAsia" w:ascii="仿宋" w:hAnsi="仿宋" w:eastAsia="仿宋" w:cs="仿宋"/>
          <w:spacing w:val="0"/>
          <w:w w:val="100"/>
          <w:lang w:val="en-US" w:eastAsia="zh-CN"/>
        </w:rPr>
        <w:t>2</w:t>
      </w:r>
      <w:r>
        <w:rPr>
          <w:rFonts w:hint="eastAsia" w:ascii="仿宋" w:hAnsi="仿宋" w:eastAsia="仿宋" w:cs="仿宋"/>
          <w:spacing w:val="0"/>
          <w:w w:val="100"/>
        </w:rPr>
        <w:t>、此表是响应文件的必要文件，是响应文件的组成部分。</w:t>
      </w:r>
    </w:p>
    <w:p>
      <w:pPr>
        <w:pStyle w:val="2"/>
        <w:spacing w:before="4"/>
        <w:rPr>
          <w:rFonts w:hint="eastAsia" w:ascii="仿宋" w:hAnsi="仿宋" w:eastAsia="仿宋" w:cs="仿宋"/>
          <w:spacing w:val="0"/>
          <w:w w:val="100"/>
          <w:sz w:val="15"/>
        </w:rPr>
      </w:pPr>
    </w:p>
    <w:p>
      <w:pPr>
        <w:pStyle w:val="2"/>
        <w:ind w:left="318"/>
        <w:rPr>
          <w:rFonts w:hint="eastAsia" w:ascii="仿宋" w:hAnsi="仿宋" w:eastAsia="仿宋" w:cs="仿宋"/>
          <w:spacing w:val="0"/>
          <w:w w:val="100"/>
        </w:rPr>
      </w:pPr>
      <w:r>
        <w:rPr>
          <w:rFonts w:hint="eastAsia" w:ascii="仿宋" w:hAnsi="仿宋" w:eastAsia="仿宋" w:cs="仿宋"/>
          <w:spacing w:val="0"/>
          <w:w w:val="100"/>
          <w:lang w:val="en-US" w:eastAsia="zh-CN"/>
        </w:rPr>
        <w:t>3</w:t>
      </w:r>
      <w:r>
        <w:rPr>
          <w:rFonts w:hint="eastAsia" w:ascii="仿宋" w:hAnsi="仿宋" w:eastAsia="仿宋" w:cs="仿宋"/>
          <w:spacing w:val="0"/>
          <w:w w:val="100"/>
        </w:rPr>
        <w:t>、响应供应商认为本次谈判采购中的未尽事宜，可另表提出建议，该部分费用不在报价总价中。</w:t>
      </w:r>
    </w:p>
    <w:p>
      <w:pPr>
        <w:pStyle w:val="2"/>
        <w:rPr>
          <w:rFonts w:hint="eastAsia" w:ascii="仿宋" w:hAnsi="仿宋" w:eastAsia="仿宋" w:cs="仿宋"/>
          <w:spacing w:val="0"/>
          <w:w w:val="100"/>
          <w:sz w:val="20"/>
        </w:rPr>
      </w:pP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tabs>
          <w:tab w:val="left" w:pos="6267"/>
          <w:tab w:val="left" w:pos="9507"/>
        </w:tabs>
        <w:spacing w:before="176" w:line="480" w:lineRule="auto"/>
        <w:ind w:left="448" w:right="816"/>
        <w:rPr>
          <w:rFonts w:hint="default" w:ascii="仿宋" w:hAnsi="仿宋" w:eastAsia="仿宋" w:cs="仿宋"/>
          <w:spacing w:val="0"/>
          <w:w w:val="100"/>
          <w:sz w:val="21"/>
          <w:szCs w:val="21"/>
          <w:u w:val="single"/>
          <w:lang w:val="en-US" w:eastAsia="zh-CN"/>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lang w:val="en-US" w:eastAsia="zh-CN"/>
        </w:rPr>
        <w:t xml:space="preserve">           </w:t>
      </w:r>
    </w:p>
    <w:p>
      <w:pPr>
        <w:pStyle w:val="2"/>
        <w:tabs>
          <w:tab w:val="left" w:pos="6267"/>
          <w:tab w:val="left" w:pos="9507"/>
        </w:tabs>
        <w:spacing w:before="17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bCs w:val="0"/>
          <w:color w:val="000000"/>
          <w:spacing w:val="0"/>
          <w:w w:val="100"/>
          <w:kern w:val="2"/>
          <w:sz w:val="24"/>
          <w:szCs w:val="24"/>
          <w:highlight w:val="none"/>
          <w:lang w:val="en-US" w:eastAsia="zh-CN" w:bidi="ar-SA"/>
        </w:rPr>
      </w:pPr>
    </w:p>
    <w:p>
      <w:pPr>
        <w:pStyle w:val="2"/>
        <w:tabs>
          <w:tab w:val="left" w:pos="1578"/>
          <w:tab w:val="left" w:pos="2418"/>
          <w:tab w:val="left" w:pos="3258"/>
        </w:tabs>
        <w:spacing w:before="69"/>
        <w:ind w:left="318"/>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jc w:val="center"/>
        <w:rPr>
          <w:rFonts w:hint="eastAsia" w:ascii="楷体" w:hAnsi="宋体" w:eastAsia="楷体" w:cs="宋体"/>
          <w:b/>
          <w:spacing w:val="0"/>
          <w:w w:val="100"/>
          <w:sz w:val="52"/>
        </w:rPr>
      </w:pPr>
      <w:bookmarkStart w:id="84" w:name="_Toc6351"/>
      <w:r>
        <w:rPr>
          <w:rFonts w:hint="eastAsia" w:ascii="楷体" w:hAnsi="宋体" w:eastAsia="楷体" w:cs="宋体"/>
          <w:b/>
          <w:spacing w:val="0"/>
          <w:w w:val="100"/>
          <w:sz w:val="52"/>
        </w:rPr>
        <w:t>三、资格性部分</w:t>
      </w:r>
      <w:bookmarkEnd w:id="84"/>
    </w:p>
    <w:p>
      <w:pPr>
        <w:pStyle w:val="13"/>
        <w:spacing w:line="480" w:lineRule="exact"/>
        <w:jc w:val="center"/>
        <w:rPr>
          <w:rFonts w:hint="eastAsia" w:ascii="仿宋" w:hAnsi="仿宋" w:eastAsia="仿宋" w:cs="仿宋"/>
          <w:b/>
          <w:color w:val="000000"/>
          <w:spacing w:val="0"/>
          <w:w w:val="100"/>
          <w:sz w:val="36"/>
          <w:highlight w:val="none"/>
        </w:rPr>
      </w:pPr>
    </w:p>
    <w:p>
      <w:pPr>
        <w:rPr>
          <w:rFonts w:hint="eastAsia"/>
        </w:rPr>
      </w:pPr>
    </w:p>
    <w:p>
      <w:pPr>
        <w:rPr>
          <w:rFonts w:hint="eastAsia"/>
        </w:rPr>
      </w:pPr>
      <w:r>
        <w:rPr>
          <w:rFonts w:hint="eastAsia"/>
        </w:rPr>
        <w:br w:type="page"/>
      </w: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numPr>
          <w:ilvl w:val="0"/>
          <w:numId w:val="0"/>
        </w:numPr>
        <w:spacing w:line="360" w:lineRule="auto"/>
        <w:ind w:leftChars="0" w:right="119" w:rightChars="0"/>
        <w:rPr>
          <w:rFonts w:hint="eastAsia" w:ascii="仿宋" w:hAnsi="仿宋" w:eastAsia="仿宋" w:cs="仿宋"/>
          <w:b/>
          <w:bCs/>
          <w:color w:val="000000"/>
          <w:spacing w:val="0"/>
          <w:w w:val="100"/>
          <w:sz w:val="21"/>
          <w:szCs w:val="21"/>
          <w:highlight w:val="none"/>
        </w:rPr>
      </w:pPr>
      <w:bookmarkStart w:id="85" w:name="三、资格性文件"/>
      <w:bookmarkEnd w:id="85"/>
      <w:bookmarkStart w:id="86" w:name="_Toc13966"/>
      <w:bookmarkStart w:id="87" w:name="_Toc30343"/>
      <w:bookmarkStart w:id="88" w:name="_Hlt10456257"/>
      <w:r>
        <w:rPr>
          <w:rFonts w:ascii="Times New Roman" w:eastAsia="Times New Roman"/>
          <w:spacing w:val="0"/>
          <w:w w:val="100"/>
          <w:sz w:val="36"/>
          <w:szCs w:val="36"/>
        </w:rPr>
        <w:t>1</w:t>
      </w:r>
      <w:r>
        <w:rPr>
          <w:spacing w:val="0"/>
          <w:w w:val="100"/>
          <w:sz w:val="36"/>
          <w:szCs w:val="36"/>
        </w:rPr>
        <w:t>、</w:t>
      </w:r>
      <w:r>
        <w:rPr>
          <w:rFonts w:hint="eastAsia"/>
          <w:spacing w:val="0"/>
          <w:w w:val="100"/>
          <w:sz w:val="36"/>
          <w:szCs w:val="36"/>
          <w:lang w:val="en-US" w:eastAsia="zh-CN"/>
        </w:rPr>
        <w:t>响应</w:t>
      </w:r>
      <w:r>
        <w:rPr>
          <w:spacing w:val="0"/>
          <w:w w:val="100"/>
          <w:sz w:val="36"/>
          <w:szCs w:val="36"/>
        </w:rPr>
        <w:t>函及政策适用性说明文件格式</w:t>
      </w:r>
      <w:bookmarkEnd w:id="86"/>
      <w:bookmarkEnd w:id="87"/>
    </w:p>
    <w:bookmarkEnd w:id="88"/>
    <w:p>
      <w:pPr>
        <w:spacing w:line="360" w:lineRule="auto"/>
        <w:jc w:val="center"/>
        <w:rPr>
          <w:rFonts w:hint="eastAsia" w:ascii="仿宋" w:hAnsi="仿宋" w:eastAsia="仿宋" w:cs="仿宋"/>
          <w:b/>
          <w:color w:val="000000"/>
          <w:spacing w:val="0"/>
          <w:w w:val="100"/>
          <w:sz w:val="32"/>
          <w:highlight w:val="none"/>
        </w:rPr>
      </w:pPr>
      <w:r>
        <w:rPr>
          <w:rFonts w:hint="eastAsia" w:ascii="仿宋" w:hAnsi="仿宋" w:eastAsia="仿宋" w:cs="仿宋"/>
          <w:b/>
          <w:color w:val="000000"/>
          <w:spacing w:val="0"/>
          <w:w w:val="100"/>
          <w:sz w:val="32"/>
          <w:highlight w:val="none"/>
          <w:lang w:val="en-US" w:eastAsia="zh-CN"/>
        </w:rPr>
        <w:t>响 应</w:t>
      </w:r>
      <w:r>
        <w:rPr>
          <w:rFonts w:hint="eastAsia" w:ascii="仿宋" w:hAnsi="仿宋" w:eastAsia="仿宋" w:cs="仿宋"/>
          <w:b/>
          <w:color w:val="000000"/>
          <w:spacing w:val="0"/>
          <w:w w:val="100"/>
          <w:sz w:val="32"/>
          <w:highlight w:val="none"/>
        </w:rPr>
        <w:t xml:space="preserve"> 函</w:t>
      </w:r>
    </w:p>
    <w:p>
      <w:pPr>
        <w:spacing w:line="360" w:lineRule="auto"/>
        <w:rPr>
          <w:rFonts w:hint="eastAsia" w:ascii="仿宋" w:hAnsi="仿宋" w:eastAsia="仿宋" w:cs="仿宋"/>
          <w:b/>
          <w:color w:val="000000"/>
          <w:spacing w:val="0"/>
          <w:w w:val="100"/>
          <w:sz w:val="24"/>
          <w:highlight w:val="none"/>
          <w:lang w:eastAsia="zh-CN"/>
        </w:rPr>
      </w:pPr>
      <w:r>
        <w:rPr>
          <w:rFonts w:hint="eastAsia" w:ascii="仿宋" w:hAnsi="仿宋" w:eastAsia="仿宋" w:cs="仿宋"/>
          <w:b/>
          <w:color w:val="000000"/>
          <w:spacing w:val="0"/>
          <w:w w:val="100"/>
          <w:sz w:val="24"/>
          <w:highlight w:val="none"/>
        </w:rPr>
        <w:t>致:</w:t>
      </w:r>
      <w:r>
        <w:rPr>
          <w:rFonts w:hint="eastAsia" w:ascii="仿宋" w:hAnsi="仿宋" w:eastAsia="仿宋" w:cs="仿宋"/>
          <w:b/>
          <w:color w:val="000000"/>
          <w:spacing w:val="0"/>
          <w:w w:val="1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我方确认收到贵方提供的</w:t>
      </w:r>
      <w:r>
        <w:rPr>
          <w:rFonts w:hint="eastAsia" w:ascii="仿宋" w:hAnsi="仿宋" w:eastAsia="仿宋" w:cs="仿宋"/>
          <w:color w:val="000000"/>
          <w:spacing w:val="0"/>
          <w:w w:val="100"/>
          <w:kern w:val="28"/>
          <w:highlight w:val="none"/>
          <w:u w:val="single"/>
        </w:rPr>
        <w:t xml:space="preserve">  （</w:t>
      </w:r>
      <w:r>
        <w:rPr>
          <w:rFonts w:hint="eastAsia" w:ascii="仿宋" w:hAnsi="仿宋" w:eastAsia="仿宋" w:cs="仿宋"/>
          <w:color w:val="000000"/>
          <w:spacing w:val="0"/>
          <w:w w:val="100"/>
          <w:kern w:val="28"/>
          <w:highlight w:val="none"/>
          <w:u w:val="single"/>
          <w:lang w:eastAsia="zh-CN"/>
        </w:rPr>
        <w:t>采购项目名称</w:t>
      </w:r>
      <w:r>
        <w:rPr>
          <w:rFonts w:hint="eastAsia" w:ascii="仿宋" w:hAnsi="仿宋" w:eastAsia="仿宋" w:cs="仿宋"/>
          <w:color w:val="000000"/>
          <w:spacing w:val="0"/>
          <w:w w:val="100"/>
          <w:kern w:val="28"/>
          <w:highlight w:val="none"/>
          <w:u w:val="single"/>
        </w:rPr>
        <w:t xml:space="preserve">）     </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文件的全部内容，我方：</w:t>
      </w:r>
      <w:r>
        <w:rPr>
          <w:rFonts w:hint="eastAsia" w:ascii="仿宋" w:hAnsi="仿宋" w:eastAsia="仿宋" w:cs="仿宋"/>
          <w:color w:val="000000"/>
          <w:spacing w:val="0"/>
          <w:w w:val="100"/>
          <w:highlight w:val="none"/>
          <w:u w:val="single"/>
        </w:rPr>
        <w:t>(</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rPr>
        <w:t>名称)</w:t>
      </w:r>
      <w:r>
        <w:rPr>
          <w:rFonts w:hint="eastAsia" w:ascii="仿宋" w:hAnsi="仿宋" w:eastAsia="仿宋" w:cs="仿宋"/>
          <w:color w:val="000000"/>
          <w:spacing w:val="0"/>
          <w:w w:val="100"/>
          <w:highlight w:val="none"/>
        </w:rPr>
        <w:t>作为</w:t>
      </w:r>
      <w:r>
        <w:rPr>
          <w:rFonts w:hint="eastAsia" w:ascii="仿宋" w:hAnsi="仿宋" w:eastAsia="仿宋" w:cs="仿宋"/>
          <w:color w:val="000000"/>
          <w:spacing w:val="0"/>
          <w:w w:val="100"/>
          <w:highlight w:val="none"/>
          <w:lang w:val="en-US" w:eastAsia="zh-CN"/>
        </w:rPr>
        <w:t>响应供应商</w:t>
      </w:r>
      <w:r>
        <w:rPr>
          <w:rFonts w:hint="eastAsia" w:ascii="仿宋" w:hAnsi="仿宋" w:eastAsia="仿宋" w:cs="仿宋"/>
          <w:color w:val="000000"/>
          <w:spacing w:val="0"/>
          <w:w w:val="100"/>
          <w:highlight w:val="none"/>
        </w:rPr>
        <w:t>正式授权</w:t>
      </w:r>
      <w:r>
        <w:rPr>
          <w:rFonts w:hint="eastAsia" w:ascii="仿宋" w:hAnsi="仿宋" w:eastAsia="仿宋" w:cs="仿宋"/>
          <w:color w:val="000000"/>
          <w:spacing w:val="0"/>
          <w:w w:val="100"/>
          <w:highlight w:val="none"/>
          <w:u w:val="single"/>
        </w:rPr>
        <w:t>(授权代表全名,职务)</w:t>
      </w:r>
      <w:r>
        <w:rPr>
          <w:rFonts w:hint="eastAsia" w:ascii="仿宋" w:hAnsi="仿宋" w:eastAsia="仿宋" w:cs="仿宋"/>
          <w:color w:val="000000"/>
          <w:spacing w:val="0"/>
          <w:w w:val="100"/>
          <w:highlight w:val="none"/>
        </w:rPr>
        <w:t>代表我方进行有关本</w:t>
      </w:r>
      <w:r>
        <w:rPr>
          <w:rFonts w:hint="eastAsia" w:ascii="仿宋" w:hAnsi="仿宋" w:eastAsia="仿宋" w:cs="仿宋"/>
          <w:color w:val="000000"/>
          <w:spacing w:val="0"/>
          <w:w w:val="100"/>
          <w:highlight w:val="none"/>
          <w:lang w:val="en-US" w:eastAsia="zh-CN"/>
        </w:rPr>
        <w:t>项目</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的一切事宜。</w:t>
      </w:r>
    </w:p>
    <w:p>
      <w:pPr>
        <w:spacing w:line="360" w:lineRule="auto"/>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在此提交的</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w:t>
      </w:r>
      <w:r>
        <w:rPr>
          <w:rFonts w:hint="eastAsia" w:ascii="仿宋" w:hAnsi="仿宋" w:eastAsia="仿宋" w:cs="仿宋"/>
          <w:spacing w:val="0"/>
          <w:w w:val="100"/>
          <w:sz w:val="21"/>
          <w:szCs w:val="21"/>
        </w:rPr>
        <w:t>正本</w:t>
      </w:r>
      <w:r>
        <w:rPr>
          <w:rFonts w:hint="eastAsia" w:ascii="仿宋" w:hAnsi="仿宋" w:eastAsia="仿宋" w:cs="仿宋"/>
          <w:spacing w:val="0"/>
          <w:w w:val="100"/>
          <w:sz w:val="21"/>
          <w:szCs w:val="21"/>
          <w:u w:val="single"/>
          <w:lang w:val="en-US" w:eastAsia="zh-CN"/>
        </w:rPr>
        <w:t>壹</w:t>
      </w:r>
      <w:r>
        <w:rPr>
          <w:rFonts w:hint="eastAsia" w:ascii="仿宋" w:hAnsi="仿宋" w:eastAsia="仿宋" w:cs="仿宋"/>
          <w:spacing w:val="0"/>
          <w:w w:val="100"/>
          <w:sz w:val="21"/>
          <w:szCs w:val="21"/>
        </w:rPr>
        <w:t>份，副本</w:t>
      </w:r>
      <w:r>
        <w:rPr>
          <w:rFonts w:hint="eastAsia" w:ascii="仿宋" w:hAnsi="仿宋" w:eastAsia="仿宋" w:cs="仿宋"/>
          <w:spacing w:val="0"/>
          <w:w w:val="100"/>
          <w:sz w:val="21"/>
          <w:szCs w:val="21"/>
          <w:u w:val="single"/>
          <w:lang w:val="en-US" w:eastAsia="zh-CN"/>
        </w:rPr>
        <w:t>贰</w:t>
      </w:r>
      <w:r>
        <w:rPr>
          <w:rFonts w:hint="eastAsia" w:ascii="仿宋" w:hAnsi="仿宋" w:eastAsia="仿宋" w:cs="仿宋"/>
          <w:spacing w:val="0"/>
          <w:w w:val="100"/>
          <w:sz w:val="21"/>
          <w:szCs w:val="21"/>
        </w:rPr>
        <w:t>份</w:t>
      </w:r>
      <w:r>
        <w:rPr>
          <w:rFonts w:hint="eastAsia" w:ascii="仿宋" w:hAnsi="仿宋" w:eastAsia="仿宋" w:cs="仿宋"/>
          <w:color w:val="000000"/>
          <w:spacing w:val="0"/>
          <w:w w:val="100"/>
          <w:sz w:val="21"/>
          <w:szCs w:val="21"/>
          <w:highlight w:val="none"/>
        </w:rPr>
        <w:t>，</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包括如下等内容:</w:t>
      </w:r>
    </w:p>
    <w:p>
      <w:pPr>
        <w:pStyle w:val="14"/>
        <w:numPr>
          <w:ilvl w:val="0"/>
          <w:numId w:val="68"/>
        </w:numPr>
        <w:spacing w:line="360" w:lineRule="auto"/>
        <w:ind w:left="0" w:leftChars="0" w:firstLine="420" w:firstLineChars="0"/>
        <w:rPr>
          <w:rFonts w:hint="default"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自查表响应表</w:t>
      </w:r>
    </w:p>
    <w:p>
      <w:pPr>
        <w:pStyle w:val="13"/>
        <w:numPr>
          <w:ilvl w:val="0"/>
          <w:numId w:val="68"/>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价格部分</w:t>
      </w:r>
    </w:p>
    <w:p>
      <w:pPr>
        <w:pStyle w:val="13"/>
        <w:numPr>
          <w:ilvl w:val="0"/>
          <w:numId w:val="68"/>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资格性部分</w:t>
      </w:r>
    </w:p>
    <w:p>
      <w:pPr>
        <w:pStyle w:val="13"/>
        <w:numPr>
          <w:ilvl w:val="0"/>
          <w:numId w:val="68"/>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商务部分</w:t>
      </w:r>
    </w:p>
    <w:p>
      <w:pPr>
        <w:numPr>
          <w:ilvl w:val="0"/>
          <w:numId w:val="68"/>
        </w:numPr>
        <w:spacing w:line="360" w:lineRule="auto"/>
        <w:ind w:left="0" w:leftChars="0" w:firstLine="420" w:firstLineChars="0"/>
        <w:rPr>
          <w:rFonts w:hint="default"/>
          <w:spacing w:val="0"/>
          <w:w w:val="100"/>
          <w:highlight w:val="none"/>
          <w:lang w:val="en-US" w:eastAsia="zh-CN"/>
        </w:rPr>
      </w:pPr>
      <w:r>
        <w:rPr>
          <w:rFonts w:hint="eastAsia" w:ascii="仿宋" w:hAnsi="仿宋" w:eastAsia="仿宋" w:cs="仿宋"/>
          <w:color w:val="000000"/>
          <w:spacing w:val="0"/>
          <w:w w:val="1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spacing w:val="0"/>
          <w:w w:val="100"/>
          <w:kern w:val="2"/>
          <w:sz w:val="21"/>
          <w:szCs w:val="20"/>
          <w:highlight w:val="none"/>
          <w:lang w:val="en-US" w:eastAsia="zh-CN" w:bidi="ar-SA"/>
        </w:rPr>
      </w:pPr>
      <w:r>
        <w:rPr>
          <w:rFonts w:hint="eastAsia" w:ascii="仿宋" w:hAnsi="仿宋" w:eastAsia="仿宋" w:cs="仿宋"/>
          <w:color w:val="000000"/>
          <w:spacing w:val="0"/>
          <w:w w:val="1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69"/>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我方决定参加：</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号的</w:t>
      </w:r>
      <w:r>
        <w:rPr>
          <w:rFonts w:hint="eastAsia" w:ascii="仿宋" w:hAnsi="仿宋" w:eastAsia="仿宋" w:cs="仿宋"/>
          <w:color w:val="000000"/>
          <w:spacing w:val="0"/>
          <w:w w:val="100"/>
          <w:highlight w:val="none"/>
          <w:lang w:val="en-US" w:eastAsia="zh-CN"/>
        </w:rPr>
        <w:t>采购项目谈判</w:t>
      </w:r>
      <w:r>
        <w:rPr>
          <w:rFonts w:hint="eastAsia" w:ascii="仿宋" w:hAnsi="仿宋" w:eastAsia="仿宋" w:cs="仿宋"/>
          <w:color w:val="000000"/>
          <w:spacing w:val="0"/>
          <w:w w:val="100"/>
          <w:highlight w:val="none"/>
        </w:rPr>
        <w:t>；</w:t>
      </w:r>
    </w:p>
    <w:p>
      <w:pPr>
        <w:keepNext w:val="0"/>
        <w:keepLines w:val="0"/>
        <w:pageBreakBefore w:val="0"/>
        <w:numPr>
          <w:ilvl w:val="0"/>
          <w:numId w:val="69"/>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lang w:val="en-US" w:eastAsia="zh-CN"/>
        </w:rPr>
        <w:t>满足谈判文件要求的</w:t>
      </w:r>
      <w:r>
        <w:rPr>
          <w:rFonts w:hint="eastAsia" w:ascii="仿宋" w:hAnsi="仿宋" w:eastAsia="仿宋" w:cs="仿宋"/>
          <w:color w:val="000000"/>
          <w:spacing w:val="0"/>
          <w:w w:val="100"/>
          <w:highlight w:val="none"/>
        </w:rPr>
        <w:t>全部货物</w:t>
      </w:r>
      <w:r>
        <w:rPr>
          <w:rFonts w:hint="eastAsia" w:ascii="仿宋" w:hAnsi="仿宋" w:eastAsia="仿宋" w:cs="仿宋"/>
          <w:color w:val="000000"/>
          <w:spacing w:val="0"/>
          <w:w w:val="100"/>
          <w:highlight w:val="none"/>
          <w:lang w:val="en-US" w:eastAsia="zh-CN"/>
        </w:rPr>
        <w:t>的</w:t>
      </w:r>
      <w:r>
        <w:rPr>
          <w:rFonts w:hint="eastAsia" w:ascii="仿宋" w:hAnsi="仿宋" w:eastAsia="仿宋" w:cs="仿宋"/>
          <w:color w:val="000000"/>
          <w:spacing w:val="0"/>
          <w:w w:val="100"/>
          <w:highlight w:val="none"/>
        </w:rPr>
        <w:t>供应和有关服务的</w:t>
      </w:r>
      <w:r>
        <w:rPr>
          <w:rFonts w:hint="eastAsia" w:ascii="仿宋" w:hAnsi="仿宋" w:eastAsia="仿宋" w:cs="仿宋"/>
          <w:color w:val="000000"/>
          <w:spacing w:val="0"/>
          <w:w w:val="100"/>
          <w:highlight w:val="none"/>
          <w:lang w:val="en-US" w:eastAsia="zh-CN"/>
        </w:rPr>
        <w:t>提供</w:t>
      </w:r>
      <w:r>
        <w:rPr>
          <w:rFonts w:hint="eastAsia" w:ascii="仿宋" w:hAnsi="仿宋" w:eastAsia="仿宋" w:cs="仿宋"/>
          <w:color w:val="000000"/>
          <w:spacing w:val="0"/>
          <w:w w:val="100"/>
          <w:highlight w:val="none"/>
        </w:rPr>
        <w:t>；</w:t>
      </w:r>
    </w:p>
    <w:p>
      <w:pPr>
        <w:keepNext w:val="0"/>
        <w:keepLines w:val="0"/>
        <w:pageBreakBefore w:val="0"/>
        <w:numPr>
          <w:ilvl w:val="0"/>
          <w:numId w:val="69"/>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的有效期</w:t>
      </w:r>
      <w:r>
        <w:rPr>
          <w:rFonts w:hint="eastAsia" w:ascii="仿宋" w:hAnsi="仿宋" w:eastAsia="仿宋" w:cs="仿宋"/>
          <w:color w:val="000000"/>
          <w:spacing w:val="0"/>
          <w:w w:val="100"/>
          <w:highlight w:val="none"/>
          <w:lang w:val="en-US" w:eastAsia="zh-CN"/>
        </w:rPr>
        <w:t>为自响应文件递交截止时间</w:t>
      </w:r>
      <w:r>
        <w:rPr>
          <w:rFonts w:hint="eastAsia" w:ascii="仿宋" w:hAnsi="仿宋" w:eastAsia="仿宋" w:cs="仿宋"/>
          <w:color w:val="000000"/>
          <w:spacing w:val="0"/>
          <w:w w:val="100"/>
          <w:highlight w:val="none"/>
        </w:rPr>
        <w:t>起</w:t>
      </w:r>
      <w:r>
        <w:rPr>
          <w:rFonts w:hint="eastAsia" w:ascii="仿宋" w:hAnsi="仿宋" w:eastAsia="仿宋" w:cs="仿宋"/>
          <w:color w:val="000000"/>
          <w:spacing w:val="0"/>
          <w:w w:val="100"/>
          <w:highlight w:val="none"/>
          <w:lang w:val="en-US" w:eastAsia="zh-CN"/>
        </w:rPr>
        <w:t>不少于</w:t>
      </w:r>
      <w:r>
        <w:rPr>
          <w:rFonts w:hint="eastAsia" w:ascii="仿宋" w:hAnsi="仿宋" w:eastAsia="仿宋" w:cs="仿宋"/>
          <w:color w:val="000000"/>
          <w:spacing w:val="0"/>
          <w:w w:val="100"/>
          <w:highlight w:val="none"/>
          <w:u w:val="single"/>
          <w:lang w:val="en-US" w:eastAsia="zh-CN"/>
        </w:rPr>
        <w:t>90</w:t>
      </w:r>
      <w:r>
        <w:rPr>
          <w:rFonts w:hint="eastAsia" w:ascii="仿宋" w:hAnsi="仿宋" w:eastAsia="仿宋" w:cs="仿宋"/>
          <w:color w:val="000000"/>
          <w:spacing w:val="0"/>
          <w:w w:val="100"/>
          <w:highlight w:val="none"/>
          <w:u w:val="none"/>
          <w:lang w:eastAsia="zh-CN"/>
        </w:rPr>
        <w:t>天</w:t>
      </w:r>
      <w:r>
        <w:rPr>
          <w:rFonts w:hint="eastAsia" w:ascii="仿宋" w:hAnsi="仿宋" w:eastAsia="仿宋" w:cs="仿宋"/>
          <w:color w:val="000000"/>
          <w:spacing w:val="0"/>
          <w:w w:val="100"/>
          <w:highlight w:val="none"/>
        </w:rPr>
        <w:t>，如</w:t>
      </w:r>
      <w:r>
        <w:rPr>
          <w:rFonts w:hint="eastAsia" w:ascii="仿宋" w:hAnsi="仿宋" w:eastAsia="仿宋" w:cs="仿宋"/>
          <w:color w:val="000000"/>
          <w:spacing w:val="0"/>
          <w:w w:val="100"/>
          <w:highlight w:val="none"/>
          <w:lang w:val="en-US" w:eastAsia="zh-CN"/>
        </w:rPr>
        <w:t>获</w:t>
      </w:r>
      <w:r>
        <w:rPr>
          <w:rFonts w:hint="eastAsia" w:ascii="仿宋" w:hAnsi="仿宋" w:eastAsia="仿宋" w:cs="仿宋"/>
          <w:color w:val="000000"/>
          <w:spacing w:val="0"/>
          <w:w w:val="100"/>
          <w:highlight w:val="none"/>
        </w:rPr>
        <w:t>成交，有效期将延至合同终止日为止；</w:t>
      </w:r>
    </w:p>
    <w:p>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我方已详细研究了</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69"/>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我方明白</w:t>
      </w:r>
      <w:r>
        <w:rPr>
          <w:rFonts w:hint="eastAsia" w:ascii="仿宋" w:hAnsi="仿宋" w:eastAsia="仿宋" w:cs="仿宋"/>
          <w:color w:val="000000"/>
          <w:spacing w:val="0"/>
          <w:w w:val="100"/>
          <w:highlight w:val="none"/>
          <w:lang w:val="en-US" w:eastAsia="zh-CN"/>
        </w:rPr>
        <w:t>如在规定</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val="en-US" w:eastAsia="zh-CN"/>
        </w:rPr>
        <w:t>响应文件递交截止</w:t>
      </w:r>
      <w:r>
        <w:rPr>
          <w:rFonts w:hint="eastAsia" w:ascii="仿宋" w:hAnsi="仿宋" w:eastAsia="仿宋" w:cs="仿宋"/>
          <w:color w:val="000000"/>
          <w:spacing w:val="0"/>
          <w:w w:val="100"/>
          <w:highlight w:val="none"/>
        </w:rPr>
        <w:t>时间之后,</w:t>
      </w:r>
      <w:r>
        <w:rPr>
          <w:rFonts w:hint="eastAsia" w:ascii="仿宋" w:hAnsi="仿宋" w:eastAsia="仿宋" w:cs="仿宋"/>
          <w:color w:val="000000"/>
          <w:spacing w:val="0"/>
          <w:w w:val="100"/>
          <w:highlight w:val="none"/>
          <w:lang w:val="en-US" w:eastAsia="zh-CN"/>
        </w:rPr>
        <w:t>响应文件</w:t>
      </w:r>
      <w:r>
        <w:rPr>
          <w:rFonts w:hint="eastAsia" w:ascii="仿宋" w:hAnsi="仿宋" w:eastAsia="仿宋" w:cs="仿宋"/>
          <w:color w:val="000000"/>
          <w:spacing w:val="0"/>
          <w:w w:val="100"/>
          <w:highlight w:val="none"/>
        </w:rPr>
        <w:t>有效期之内撤回</w:t>
      </w:r>
      <w:r>
        <w:rPr>
          <w:rFonts w:hint="eastAsia" w:ascii="仿宋" w:hAnsi="仿宋" w:eastAsia="仿宋" w:cs="仿宋"/>
          <w:color w:val="000000"/>
          <w:spacing w:val="0"/>
          <w:w w:val="100"/>
          <w:highlight w:val="none"/>
          <w:lang w:val="en-US" w:eastAsia="zh-CN"/>
        </w:rPr>
        <w:t>响应文件</w:t>
      </w:r>
      <w:r>
        <w:rPr>
          <w:rFonts w:hint="eastAsia" w:ascii="仿宋" w:hAnsi="仿宋" w:eastAsia="仿宋" w:cs="仿宋"/>
          <w:color w:val="000000"/>
          <w:spacing w:val="0"/>
          <w:w w:val="100"/>
          <w:highlight w:val="none"/>
        </w:rPr>
        <w:t>,则</w:t>
      </w:r>
      <w:r>
        <w:rPr>
          <w:rFonts w:hint="eastAsia" w:ascii="仿宋" w:hAnsi="仿宋" w:eastAsia="仿宋" w:cs="仿宋"/>
          <w:color w:val="000000"/>
          <w:spacing w:val="0"/>
          <w:w w:val="100"/>
          <w:highlight w:val="none"/>
          <w:lang w:val="en-US" w:eastAsia="zh-CN"/>
        </w:rPr>
        <w:t>承担相关责任</w:t>
      </w:r>
      <w:r>
        <w:rPr>
          <w:rFonts w:hint="eastAsia" w:ascii="仿宋" w:hAnsi="仿宋" w:eastAsia="仿宋" w:cs="仿宋"/>
          <w:color w:val="000000"/>
          <w:spacing w:val="0"/>
          <w:w w:val="100"/>
          <w:highlight w:val="none"/>
        </w:rPr>
        <w:t>。</w:t>
      </w:r>
    </w:p>
    <w:p>
      <w:pPr>
        <w:pStyle w:val="14"/>
        <w:keepNext w:val="0"/>
        <w:keepLines w:val="0"/>
        <w:pageBreakBefore w:val="0"/>
        <w:numPr>
          <w:ilvl w:val="0"/>
          <w:numId w:val="69"/>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我方同意按照贵方可能提出的要求而提供与</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有关的任何其它数据或信息。</w:t>
      </w:r>
    </w:p>
    <w:p>
      <w:pPr>
        <w:keepNext w:val="0"/>
        <w:keepLines w:val="0"/>
        <w:pageBreakBefore w:val="0"/>
        <w:numPr>
          <w:ilvl w:val="0"/>
          <w:numId w:val="69"/>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我方如果成交，将保证履行</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文件以及</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文件修改文件（如果有的话）中的全部责任和义务，按质、按量、按期完成《用户需求书》及《合同书》中的全部任务。</w:t>
      </w:r>
    </w:p>
    <w:p>
      <w:pPr>
        <w:keepNext w:val="0"/>
        <w:keepLines w:val="0"/>
        <w:pageBreakBefore w:val="0"/>
        <w:numPr>
          <w:ilvl w:val="0"/>
          <w:numId w:val="69"/>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所有与本</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有关的函件请发往下列地址:</w:t>
      </w:r>
    </w:p>
    <w:p>
      <w:pPr>
        <w:pStyle w:val="2"/>
        <w:tabs>
          <w:tab w:val="left" w:pos="5127"/>
          <w:tab w:val="left" w:pos="9747"/>
        </w:tabs>
        <w:spacing w:line="360" w:lineRule="auto"/>
        <w:ind w:left="440" w:leftChars="200" w:right="576"/>
        <w:jc w:val="both"/>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地 址：</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邮政编码：</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电 话：</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电子邮箱：</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代表姓名：</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职   务 ：</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6267"/>
          <w:tab w:val="left" w:pos="9507"/>
        </w:tabs>
        <w:spacing w:before="66" w:line="240" w:lineRule="auto"/>
        <w:ind w:left="448" w:right="816"/>
        <w:rPr>
          <w:rFonts w:hint="eastAsia" w:ascii="仿宋" w:hAnsi="仿宋" w:eastAsia="仿宋" w:cs="仿宋"/>
          <w:spacing w:val="0"/>
          <w:w w:val="100"/>
          <w:sz w:val="21"/>
          <w:szCs w:val="21"/>
        </w:rPr>
      </w:pPr>
    </w:p>
    <w:p>
      <w:pPr>
        <w:pStyle w:val="2"/>
        <w:tabs>
          <w:tab w:val="left" w:pos="6267"/>
          <w:tab w:val="left" w:pos="9507"/>
        </w:tabs>
        <w:spacing w:before="66" w:line="360" w:lineRule="auto"/>
        <w:ind w:left="448" w:right="816"/>
        <w:rPr>
          <w:rFonts w:hint="default" w:ascii="仿宋" w:hAnsi="仿宋" w:eastAsia="仿宋" w:cs="仿宋"/>
          <w:spacing w:val="0"/>
          <w:w w:val="100"/>
          <w:sz w:val="21"/>
          <w:szCs w:val="21"/>
          <w:u w:val="single"/>
          <w:lang w:val="en-US" w:eastAsia="zh-CN"/>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bidi w:val="0"/>
        <w:rPr>
          <w:rFonts w:hint="eastAsia" w:ascii="宋体" w:hAnsi="宋体" w:eastAsia="宋体" w:cs="宋体"/>
          <w:b/>
          <w:bCs/>
          <w:spacing w:val="0"/>
          <w:w w:val="100"/>
          <w:sz w:val="36"/>
          <w:szCs w:val="36"/>
          <w:lang w:val="en-US" w:eastAsia="zh-CN" w:bidi="zh-CN"/>
        </w:rPr>
      </w:pPr>
      <w:bookmarkStart w:id="89" w:name="3.2 法定代表人/负责人资格证明书及授权委托书"/>
      <w:bookmarkEnd w:id="89"/>
      <w:bookmarkStart w:id="90" w:name="3.2 法定代表人/负责人资格证明书及授权委托书"/>
      <w:bookmarkEnd w:id="90"/>
      <w:bookmarkStart w:id="91" w:name="_Toc24196"/>
      <w:bookmarkStart w:id="92" w:name="_Toc29958"/>
      <w:bookmarkStart w:id="93" w:name="_Toc11614"/>
      <w:r>
        <w:rPr>
          <w:rFonts w:hint="eastAsia" w:ascii="宋体" w:hAnsi="宋体" w:eastAsia="宋体" w:cs="宋体"/>
          <w:b/>
          <w:bCs/>
          <w:spacing w:val="0"/>
          <w:w w:val="100"/>
          <w:sz w:val="36"/>
          <w:szCs w:val="36"/>
          <w:lang w:val="en-US" w:eastAsia="zh-CN" w:bidi="zh-CN"/>
        </w:rPr>
        <w:t>2、法定代表人证明书、法定代表人授权书格式</w:t>
      </w:r>
      <w:bookmarkEnd w:id="91"/>
      <w:bookmarkEnd w:id="92"/>
      <w:bookmarkEnd w:id="93"/>
    </w:p>
    <w:p>
      <w:pPr>
        <w:pStyle w:val="13"/>
        <w:numPr>
          <w:ilvl w:val="0"/>
          <w:numId w:val="70"/>
        </w:numPr>
        <w:spacing w:before="240" w:after="240" w:line="360" w:lineRule="auto"/>
        <w:ind w:left="425" w:leftChars="0" w:hanging="425" w:firstLineChars="0"/>
        <w:jc w:val="center"/>
        <w:rPr>
          <w:rFonts w:hint="eastAsia" w:ascii="仿宋" w:hAnsi="仿宋" w:eastAsia="仿宋" w:cs="仿宋"/>
          <w:b/>
          <w:color w:val="000000"/>
          <w:spacing w:val="0"/>
          <w:w w:val="100"/>
          <w:sz w:val="32"/>
          <w:highlight w:val="none"/>
        </w:rPr>
      </w:pPr>
      <w:r>
        <w:rPr>
          <w:rFonts w:hint="eastAsia" w:ascii="仿宋" w:hAnsi="仿宋" w:eastAsia="仿宋" w:cs="仿宋"/>
          <w:b/>
          <w:color w:val="000000"/>
          <w:spacing w:val="0"/>
          <w:w w:val="100"/>
          <w:sz w:val="32"/>
          <w:highlight w:val="none"/>
        </w:rPr>
        <w:t>法定代表人证明书</w:t>
      </w:r>
    </w:p>
    <w:p>
      <w:pPr>
        <w:spacing w:line="360" w:lineRule="auto"/>
        <w:rPr>
          <w:rFonts w:hint="eastAsia" w:ascii="仿宋" w:hAnsi="仿宋" w:eastAsia="仿宋" w:cs="仿宋"/>
          <w:b/>
          <w:color w:val="000000"/>
          <w:spacing w:val="0"/>
          <w:w w:val="100"/>
          <w:szCs w:val="21"/>
          <w:highlight w:val="none"/>
        </w:rPr>
      </w:pPr>
      <w:r>
        <w:rPr>
          <w:rFonts w:hint="eastAsia" w:ascii="仿宋" w:hAnsi="仿宋" w:eastAsia="仿宋" w:cs="仿宋"/>
          <w:b/>
          <w:bCs/>
          <w:color w:val="000000"/>
          <w:spacing w:val="0"/>
          <w:w w:val="100"/>
          <w:szCs w:val="21"/>
          <w:highlight w:val="none"/>
        </w:rPr>
        <w:t>致:广东</w:t>
      </w:r>
      <w:r>
        <w:rPr>
          <w:rFonts w:hint="eastAsia" w:ascii="仿宋" w:hAnsi="仿宋" w:eastAsia="仿宋" w:cs="仿宋"/>
          <w:b/>
          <w:color w:val="000000"/>
          <w:spacing w:val="0"/>
          <w:w w:val="100"/>
          <w:szCs w:val="21"/>
          <w:highlight w:val="none"/>
          <w:lang w:val="en-US" w:eastAsia="zh-CN"/>
        </w:rPr>
        <w:t>至臻项目管理</w:t>
      </w:r>
      <w:r>
        <w:rPr>
          <w:rFonts w:hint="eastAsia" w:ascii="仿宋" w:hAnsi="仿宋" w:eastAsia="仿宋" w:cs="仿宋"/>
          <w:b/>
          <w:color w:val="000000"/>
          <w:spacing w:val="0"/>
          <w:w w:val="100"/>
          <w:szCs w:val="21"/>
          <w:highlight w:val="none"/>
        </w:rPr>
        <w:t>有限公司</w:t>
      </w:r>
    </w:p>
    <w:p>
      <w:pPr>
        <w:spacing w:line="360" w:lineRule="auto"/>
        <w:rPr>
          <w:rFonts w:hint="eastAsia" w:ascii="仿宋" w:hAnsi="仿宋" w:eastAsia="仿宋" w:cs="仿宋"/>
          <w:b/>
          <w:color w:val="000000"/>
          <w:spacing w:val="0"/>
          <w:w w:val="100"/>
          <w:szCs w:val="21"/>
          <w:highlight w:val="none"/>
        </w:rPr>
      </w:pP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 xml:space="preserve">    </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u w:val="single"/>
          <w:lang w:val="en-US" w:eastAsia="zh-CN"/>
        </w:rPr>
        <w:t>(</w:t>
      </w:r>
      <w:r>
        <w:rPr>
          <w:rFonts w:hint="eastAsia" w:ascii="仿宋" w:hAnsi="仿宋" w:eastAsia="仿宋" w:cs="仿宋"/>
          <w:color w:val="000000"/>
          <w:spacing w:val="0"/>
          <w:w w:val="100"/>
          <w:szCs w:val="21"/>
          <w:highlight w:val="none"/>
          <w:u w:val="single"/>
        </w:rPr>
        <w:t>法定代表人</w:t>
      </w:r>
      <w:r>
        <w:rPr>
          <w:rFonts w:hint="eastAsia" w:ascii="仿宋" w:hAnsi="仿宋" w:eastAsia="仿宋" w:cs="仿宋"/>
          <w:color w:val="000000"/>
          <w:spacing w:val="0"/>
          <w:w w:val="100"/>
          <w:szCs w:val="21"/>
          <w:highlight w:val="none"/>
          <w:u w:val="single"/>
          <w:lang w:val="en-US" w:eastAsia="zh-CN"/>
        </w:rPr>
        <w:t>姓名)</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同志，现任我单位</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职务，为法定代表人，特此证明。</w:t>
      </w: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签发日期：</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 xml:space="preserve">           单位名称：</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（盖章）</w:t>
      </w:r>
    </w:p>
    <w:p>
      <w:pPr>
        <w:spacing w:line="360" w:lineRule="auto"/>
        <w:rPr>
          <w:rFonts w:hint="eastAsia" w:ascii="仿宋" w:hAnsi="仿宋" w:eastAsia="仿宋" w:cs="仿宋"/>
          <w:color w:val="000000"/>
          <w:spacing w:val="0"/>
          <w:w w:val="100"/>
          <w:szCs w:val="21"/>
          <w:highlight w:val="none"/>
        </w:rPr>
      </w:pP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附：</w:t>
      </w:r>
      <w:r>
        <w:rPr>
          <w:rFonts w:hint="eastAsia" w:ascii="仿宋" w:hAnsi="仿宋" w:eastAsia="仿宋" w:cs="仿宋"/>
          <w:color w:val="000000"/>
          <w:spacing w:val="0"/>
          <w:w w:val="100"/>
          <w:szCs w:val="21"/>
          <w:highlight w:val="none"/>
          <w:lang w:val="en-US" w:eastAsia="zh-CN"/>
        </w:rPr>
        <w:t>法定</w:t>
      </w:r>
      <w:r>
        <w:rPr>
          <w:rFonts w:hint="eastAsia" w:ascii="仿宋" w:hAnsi="仿宋" w:eastAsia="仿宋" w:cs="仿宋"/>
          <w:color w:val="000000"/>
          <w:spacing w:val="0"/>
          <w:w w:val="100"/>
          <w:szCs w:val="21"/>
          <w:highlight w:val="none"/>
        </w:rPr>
        <w:t>代表人性别：</w:t>
      </w:r>
    </w:p>
    <w:p>
      <w:pPr>
        <w:spacing w:line="360" w:lineRule="auto"/>
        <w:rPr>
          <w:rFonts w:hint="eastAsia" w:ascii="仿宋" w:hAnsi="仿宋" w:eastAsia="仿宋" w:cs="仿宋"/>
          <w:color w:val="000000"/>
          <w:spacing w:val="0"/>
          <w:w w:val="100"/>
          <w:szCs w:val="21"/>
          <w:highlight w:val="none"/>
          <w:u w:val="single"/>
        </w:rPr>
      </w:pPr>
      <w:r>
        <w:rPr>
          <w:rFonts w:hint="eastAsia" w:ascii="仿宋" w:hAnsi="仿宋" w:eastAsia="仿宋" w:cs="仿宋"/>
          <w:color w:val="000000"/>
          <w:spacing w:val="0"/>
          <w:w w:val="100"/>
          <w:highlight w:val="none"/>
        </w:rPr>
        <w:t>经济性质</w:t>
      </w:r>
      <w:r>
        <w:rPr>
          <w:rFonts w:hint="eastAsia" w:ascii="仿宋" w:hAnsi="仿宋" w:eastAsia="仿宋" w:cs="仿宋"/>
          <w:color w:val="000000"/>
          <w:spacing w:val="0"/>
          <w:w w:val="100"/>
          <w:szCs w:val="21"/>
          <w:highlight w:val="none"/>
        </w:rPr>
        <w:t>：</w:t>
      </w:r>
    </w:p>
    <w:p>
      <w:pPr>
        <w:spacing w:line="360" w:lineRule="auto"/>
        <w:rPr>
          <w:rFonts w:hint="eastAsia" w:ascii="仿宋" w:hAnsi="仿宋" w:eastAsia="仿宋" w:cs="仿宋"/>
          <w:color w:val="000000"/>
          <w:spacing w:val="0"/>
          <w:w w:val="100"/>
          <w:highlight w:val="none"/>
          <w:u w:val="single"/>
        </w:rPr>
      </w:pPr>
      <w:r>
        <w:rPr>
          <w:rFonts w:hint="eastAsia" w:ascii="仿宋" w:hAnsi="仿宋" w:eastAsia="仿宋" w:cs="仿宋"/>
          <w:color w:val="000000"/>
          <w:spacing w:val="0"/>
          <w:w w:val="100"/>
          <w:szCs w:val="21"/>
          <w:highlight w:val="none"/>
        </w:rPr>
        <w:t>营业</w:t>
      </w:r>
      <w:r>
        <w:rPr>
          <w:rFonts w:hint="eastAsia" w:ascii="仿宋" w:hAnsi="仿宋" w:eastAsia="仿宋" w:cs="仿宋"/>
          <w:color w:val="000000"/>
          <w:spacing w:val="0"/>
          <w:w w:val="100"/>
          <w:highlight w:val="none"/>
        </w:rPr>
        <w:t>执照号码：</w:t>
      </w:r>
    </w:p>
    <w:p>
      <w:pPr>
        <w:spacing w:line="360" w:lineRule="auto"/>
        <w:rPr>
          <w:rFonts w:hint="eastAsia" w:ascii="仿宋" w:hAnsi="仿宋" w:eastAsia="仿宋" w:cs="仿宋"/>
          <w:color w:val="000000"/>
          <w:spacing w:val="0"/>
          <w:w w:val="100"/>
          <w:highlight w:val="none"/>
        </w:rPr>
      </w:pPr>
    </w:p>
    <w:p>
      <w:pPr>
        <w:spacing w:line="360" w:lineRule="auto"/>
        <w:rPr>
          <w:rFonts w:hint="eastAsia" w:ascii="仿宋" w:hAnsi="仿宋" w:eastAsia="仿宋" w:cs="仿宋"/>
          <w:color w:val="000000"/>
          <w:spacing w:val="0"/>
          <w:w w:val="100"/>
          <w:highlight w:val="none"/>
        </w:rPr>
      </w:pPr>
    </w:p>
    <w:p>
      <w:pPr>
        <w:pStyle w:val="13"/>
        <w:spacing w:line="480" w:lineRule="exact"/>
        <w:jc w:val="center"/>
        <w:rPr>
          <w:rFonts w:hint="eastAsia" w:ascii="仿宋" w:hAnsi="仿宋" w:eastAsia="仿宋" w:cs="仿宋"/>
          <w:color w:val="000000"/>
          <w:spacing w:val="0"/>
          <w:w w:val="100"/>
          <w:highlight w:val="none"/>
        </w:rPr>
      </w:pPr>
    </w:p>
    <w:p>
      <w:pPr>
        <w:spacing w:line="360" w:lineRule="auto"/>
        <w:ind w:left="422" w:hanging="442" w:hangingChars="200"/>
        <w:rPr>
          <w:rFonts w:hint="eastAsia" w:ascii="仿宋" w:hAnsi="仿宋" w:eastAsia="仿宋" w:cs="仿宋"/>
          <w:b/>
          <w:color w:val="000000"/>
          <w:spacing w:val="0"/>
          <w:w w:val="100"/>
          <w:szCs w:val="21"/>
          <w:highlight w:val="none"/>
        </w:rPr>
      </w:pPr>
      <w:r>
        <w:rPr>
          <w:rFonts w:hint="eastAsia" w:ascii="仿宋" w:hAnsi="仿宋" w:eastAsia="仿宋" w:cs="仿宋"/>
          <w:b/>
          <w:color w:val="000000"/>
          <w:spacing w:val="0"/>
          <w:w w:val="1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pacing w:val="0"/>
          <w:w w:val="100"/>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法定代表人身份证复印件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（正面）</w:t>
            </w:r>
          </w:p>
        </w:tc>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法定代表人身份证复印件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（反面）</w:t>
            </w:r>
          </w:p>
        </w:tc>
      </w:tr>
    </w:tbl>
    <w:p>
      <w:pPr>
        <w:pStyle w:val="2"/>
        <w:spacing w:line="559" w:lineRule="auto"/>
        <w:ind w:left="5140" w:right="4059" w:hanging="10"/>
        <w:rPr>
          <w:rFonts w:hint="eastAsia" w:ascii="仿宋" w:hAnsi="仿宋" w:eastAsia="仿宋" w:cs="仿宋"/>
        </w:rPr>
      </w:pP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numPr>
          <w:ilvl w:val="0"/>
          <w:numId w:val="70"/>
        </w:numPr>
        <w:spacing w:line="480" w:lineRule="exact"/>
        <w:ind w:left="425" w:leftChars="0" w:hanging="425" w:firstLineChars="0"/>
        <w:jc w:val="center"/>
        <w:rPr>
          <w:rFonts w:hint="default" w:ascii="仿宋" w:hAnsi="仿宋" w:eastAsia="仿宋" w:cs="仿宋"/>
          <w:b/>
          <w:color w:val="000000"/>
          <w:spacing w:val="0"/>
          <w:w w:val="100"/>
          <w:sz w:val="32"/>
          <w:highlight w:val="none"/>
          <w:lang w:val="en-US" w:eastAsia="zh-CN"/>
        </w:rPr>
      </w:pPr>
      <w:r>
        <w:rPr>
          <w:rFonts w:hint="eastAsia" w:ascii="仿宋" w:hAnsi="仿宋" w:eastAsia="仿宋" w:cs="仿宋"/>
          <w:b/>
          <w:color w:val="000000"/>
          <w:spacing w:val="0"/>
          <w:w w:val="100"/>
          <w:sz w:val="32"/>
          <w:highlight w:val="none"/>
        </w:rPr>
        <w:t>法定代表人授权书</w:t>
      </w:r>
    </w:p>
    <w:p>
      <w:pPr>
        <w:pStyle w:val="13"/>
        <w:spacing w:line="480" w:lineRule="exact"/>
        <w:rPr>
          <w:rFonts w:hint="eastAsia" w:ascii="仿宋" w:hAnsi="仿宋" w:eastAsia="仿宋" w:cs="仿宋"/>
          <w:color w:val="000000"/>
          <w:spacing w:val="0"/>
          <w:w w:val="100"/>
          <w:highlight w:val="none"/>
        </w:rPr>
      </w:pPr>
    </w:p>
    <w:p>
      <w:pPr>
        <w:pStyle w:val="13"/>
        <w:spacing w:line="480" w:lineRule="exact"/>
        <w:rPr>
          <w:rFonts w:hint="eastAsia" w:ascii="仿宋" w:hAnsi="仿宋" w:eastAsia="仿宋" w:cs="仿宋"/>
          <w:b/>
          <w:color w:val="000000"/>
          <w:spacing w:val="0"/>
          <w:w w:val="100"/>
          <w:sz w:val="24"/>
          <w:highlight w:val="none"/>
        </w:rPr>
      </w:pPr>
      <w:r>
        <w:rPr>
          <w:rFonts w:hint="eastAsia" w:ascii="仿宋" w:hAnsi="仿宋" w:eastAsia="仿宋" w:cs="仿宋"/>
          <w:b/>
          <w:color w:val="000000"/>
          <w:spacing w:val="0"/>
          <w:w w:val="100"/>
          <w:sz w:val="24"/>
          <w:highlight w:val="none"/>
        </w:rPr>
        <w:t>致:广东</w:t>
      </w:r>
      <w:r>
        <w:rPr>
          <w:rFonts w:hint="eastAsia" w:ascii="仿宋" w:hAnsi="仿宋" w:eastAsia="仿宋" w:cs="仿宋"/>
          <w:b/>
          <w:color w:val="000000"/>
          <w:spacing w:val="0"/>
          <w:w w:val="100"/>
          <w:sz w:val="24"/>
          <w:highlight w:val="none"/>
          <w:lang w:val="en-US" w:eastAsia="zh-CN"/>
        </w:rPr>
        <w:t>至臻项目管理</w:t>
      </w:r>
      <w:r>
        <w:rPr>
          <w:rFonts w:hint="eastAsia" w:ascii="仿宋" w:hAnsi="仿宋" w:eastAsia="仿宋" w:cs="仿宋"/>
          <w:b/>
          <w:color w:val="000000"/>
          <w:spacing w:val="0"/>
          <w:w w:val="100"/>
          <w:sz w:val="24"/>
          <w:highlight w:val="none"/>
        </w:rPr>
        <w:t>有限公司</w:t>
      </w:r>
    </w:p>
    <w:p>
      <w:pPr>
        <w:pStyle w:val="13"/>
        <w:spacing w:line="480" w:lineRule="exact"/>
        <w:rPr>
          <w:rFonts w:hint="eastAsia" w:ascii="仿宋" w:hAnsi="仿宋" w:eastAsia="仿宋" w:cs="仿宋"/>
          <w:color w:val="000000"/>
          <w:spacing w:val="0"/>
          <w:w w:val="100"/>
          <w:sz w:val="24"/>
          <w:highlight w:val="none"/>
        </w:rPr>
      </w:pPr>
    </w:p>
    <w:p>
      <w:pPr>
        <w:pStyle w:val="13"/>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本授权书声明：</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法定代表人姓名</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是注册于</w:t>
      </w:r>
      <w:r>
        <w:rPr>
          <w:rFonts w:hint="eastAsia" w:ascii="仿宋" w:hAnsi="仿宋" w:eastAsia="仿宋" w:cs="仿宋"/>
          <w:color w:val="000000"/>
          <w:spacing w:val="0"/>
          <w:w w:val="100"/>
          <w:highlight w:val="none"/>
          <w:u w:val="single"/>
        </w:rPr>
        <w:t xml:space="preserve">             （国家或地区）</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u w:val="single"/>
        </w:rPr>
        <w:t>（</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rPr>
        <w:t>名称）</w:t>
      </w:r>
      <w:r>
        <w:rPr>
          <w:rFonts w:hint="eastAsia" w:ascii="仿宋" w:hAnsi="仿宋" w:eastAsia="仿宋" w:cs="仿宋"/>
          <w:color w:val="000000"/>
          <w:spacing w:val="0"/>
          <w:w w:val="100"/>
          <w:highlight w:val="none"/>
        </w:rPr>
        <w:t>的法定代表人。现任</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职务。在</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采购项目名称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项目</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和合同执行过程中，现授权</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被授权人</w:t>
      </w:r>
      <w:r>
        <w:rPr>
          <w:rFonts w:hint="eastAsia" w:ascii="仿宋" w:hAnsi="仿宋" w:eastAsia="仿宋" w:cs="仿宋"/>
          <w:color w:val="000000"/>
          <w:spacing w:val="0"/>
          <w:w w:val="100"/>
          <w:highlight w:val="none"/>
          <w:u w:val="single"/>
        </w:rPr>
        <w:t>姓名</w:t>
      </w:r>
      <w:r>
        <w:rPr>
          <w:rFonts w:hint="eastAsia" w:ascii="仿宋" w:hAnsi="仿宋" w:eastAsia="仿宋" w:cs="仿宋"/>
          <w:color w:val="000000"/>
          <w:spacing w:val="0"/>
          <w:w w:val="100"/>
          <w:highlight w:val="none"/>
          <w:u w:val="single"/>
          <w:lang w:eastAsia="zh-CN"/>
        </w:rPr>
        <w:t>，</w:t>
      </w:r>
      <w:r>
        <w:rPr>
          <w:rFonts w:hint="eastAsia" w:ascii="仿宋" w:hAnsi="仿宋" w:eastAsia="仿宋" w:cs="仿宋"/>
          <w:color w:val="000000"/>
          <w:spacing w:val="0"/>
          <w:w w:val="100"/>
          <w:highlight w:val="none"/>
          <w:u w:val="single"/>
        </w:rPr>
        <w:t>职务）</w:t>
      </w:r>
      <w:r>
        <w:rPr>
          <w:rFonts w:hint="eastAsia" w:ascii="仿宋" w:hAnsi="仿宋" w:eastAsia="仿宋" w:cs="仿宋"/>
          <w:color w:val="000000"/>
          <w:spacing w:val="0"/>
          <w:w w:val="100"/>
          <w:highlight w:val="none"/>
        </w:rPr>
        <w:t>作为我公司的全权代理人，以我方的名义处理一切与之有关的事宜。</w:t>
      </w:r>
    </w:p>
    <w:p>
      <w:pPr>
        <w:pStyle w:val="13"/>
        <w:spacing w:line="480" w:lineRule="exact"/>
        <w:rPr>
          <w:rFonts w:hint="eastAsia" w:ascii="仿宋" w:hAnsi="仿宋" w:eastAsia="仿宋" w:cs="仿宋"/>
          <w:color w:val="000000"/>
          <w:spacing w:val="0"/>
          <w:w w:val="100"/>
          <w:highlight w:val="none"/>
        </w:rPr>
      </w:pPr>
    </w:p>
    <w:p>
      <w:pPr>
        <w:spacing w:line="480" w:lineRule="exact"/>
        <w:ind w:firstLine="57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本授权书于</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年</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月</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日</w:t>
      </w:r>
      <w:r>
        <w:rPr>
          <w:rFonts w:hint="eastAsia" w:ascii="仿宋" w:hAnsi="仿宋" w:eastAsia="仿宋" w:cs="仿宋"/>
          <w:color w:val="000000"/>
          <w:spacing w:val="0"/>
          <w:w w:val="100"/>
          <w:sz w:val="21"/>
          <w:szCs w:val="21"/>
          <w:highlight w:val="none"/>
          <w:lang w:eastAsia="zh-CN"/>
        </w:rPr>
        <w:t>签字或盖章</w:t>
      </w:r>
      <w:r>
        <w:rPr>
          <w:rFonts w:hint="eastAsia" w:ascii="仿宋" w:hAnsi="仿宋" w:eastAsia="仿宋" w:cs="仿宋"/>
          <w:color w:val="000000"/>
          <w:spacing w:val="0"/>
          <w:w w:val="100"/>
          <w:highlight w:val="none"/>
        </w:rPr>
        <w:t>生效，特此声明。</w:t>
      </w:r>
    </w:p>
    <w:p>
      <w:pPr>
        <w:spacing w:line="480" w:lineRule="exact"/>
        <w:rPr>
          <w:rFonts w:hint="eastAsia" w:ascii="仿宋" w:hAnsi="仿宋" w:eastAsia="仿宋" w:cs="仿宋"/>
          <w:color w:val="000000"/>
          <w:spacing w:val="0"/>
          <w:w w:val="100"/>
          <w:highlight w:val="none"/>
        </w:rPr>
      </w:pPr>
    </w:p>
    <w:p>
      <w:pPr>
        <w:spacing w:line="480" w:lineRule="exact"/>
        <w:ind w:left="4818" w:leftChars="2190" w:firstLine="220" w:firstLineChars="10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lang w:eastAsia="zh-CN"/>
        </w:rPr>
        <w:t>供应商</w:t>
      </w:r>
      <w:r>
        <w:rPr>
          <w:rFonts w:hint="eastAsia" w:ascii="仿宋" w:hAnsi="仿宋" w:eastAsia="仿宋" w:cs="仿宋"/>
          <w:color w:val="000000"/>
          <w:spacing w:val="0"/>
          <w:w w:val="1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法定代表人（</w:t>
      </w:r>
      <w:r>
        <w:rPr>
          <w:rFonts w:hint="eastAsia" w:ascii="仿宋" w:hAnsi="仿宋" w:eastAsia="仿宋" w:cs="仿宋"/>
          <w:color w:val="000000"/>
          <w:spacing w:val="0"/>
          <w:w w:val="100"/>
          <w:sz w:val="21"/>
          <w:szCs w:val="21"/>
          <w:highlight w:val="none"/>
          <w:lang w:eastAsia="zh-CN"/>
        </w:rPr>
        <w:t>签字或盖章</w:t>
      </w:r>
      <w:r>
        <w:rPr>
          <w:rFonts w:hint="eastAsia" w:ascii="仿宋" w:hAnsi="仿宋" w:eastAsia="仿宋" w:cs="仿宋"/>
          <w:color w:val="000000"/>
          <w:spacing w:val="0"/>
          <w:w w:val="100"/>
          <w:highlight w:val="none"/>
        </w:rPr>
        <w:t>）：</w:t>
      </w:r>
    </w:p>
    <w:p>
      <w:pPr>
        <w:spacing w:line="480" w:lineRule="exact"/>
        <w:ind w:left="4818" w:leftChars="2190" w:firstLine="220" w:firstLineChars="100"/>
        <w:rPr>
          <w:rFonts w:hint="eastAsia" w:ascii="仿宋" w:hAnsi="仿宋" w:eastAsia="仿宋" w:cs="仿宋"/>
          <w:color w:val="000000"/>
          <w:spacing w:val="0"/>
          <w:w w:val="100"/>
          <w:highlight w:val="none"/>
          <w:lang w:eastAsia="zh-CN"/>
        </w:rPr>
      </w:pPr>
      <w:r>
        <w:rPr>
          <w:rFonts w:hint="eastAsia" w:ascii="仿宋" w:hAnsi="仿宋" w:eastAsia="仿宋" w:cs="仿宋"/>
          <w:color w:val="000000"/>
          <w:spacing w:val="0"/>
          <w:w w:val="100"/>
          <w:highlight w:val="none"/>
          <w:lang w:eastAsia="zh-CN"/>
        </w:rPr>
        <w:t>被授权人（签字或盖章）：</w:t>
      </w:r>
    </w:p>
    <w:p>
      <w:pPr>
        <w:spacing w:line="360" w:lineRule="auto"/>
        <w:ind w:left="422" w:hanging="442" w:hangingChars="200"/>
        <w:rPr>
          <w:rFonts w:hint="eastAsia" w:ascii="仿宋" w:hAnsi="仿宋" w:eastAsia="仿宋" w:cs="仿宋"/>
          <w:b/>
          <w:color w:val="000000"/>
          <w:spacing w:val="0"/>
          <w:w w:val="100"/>
          <w:szCs w:val="21"/>
          <w:highlight w:val="none"/>
        </w:rPr>
      </w:pPr>
    </w:p>
    <w:p>
      <w:pPr>
        <w:pStyle w:val="4"/>
        <w:numPr>
          <w:ilvl w:val="0"/>
          <w:numId w:val="0"/>
        </w:numPr>
        <w:tabs>
          <w:tab w:val="left" w:pos="239"/>
        </w:tabs>
        <w:ind w:leftChars="0"/>
        <w:outlineLvl w:val="9"/>
        <w:rPr>
          <w:rFonts w:hint="eastAsia"/>
          <w:spacing w:val="0"/>
          <w:w w:val="100"/>
        </w:rPr>
      </w:pPr>
    </w:p>
    <w:p>
      <w:pPr>
        <w:spacing w:line="360" w:lineRule="auto"/>
        <w:ind w:left="422" w:hanging="442" w:hangingChars="200"/>
        <w:rPr>
          <w:rFonts w:hint="eastAsia" w:ascii="仿宋" w:hAnsi="仿宋" w:eastAsia="仿宋" w:cs="仿宋"/>
          <w:b/>
          <w:color w:val="000000"/>
          <w:spacing w:val="0"/>
          <w:w w:val="100"/>
          <w:szCs w:val="21"/>
          <w:highlight w:val="none"/>
        </w:rPr>
      </w:pPr>
    </w:p>
    <w:p>
      <w:pPr>
        <w:pStyle w:val="2"/>
        <w:rPr>
          <w:rFonts w:hint="eastAsia" w:ascii="仿宋" w:hAnsi="仿宋" w:eastAsia="仿宋" w:cs="仿宋"/>
          <w:color w:val="000000"/>
          <w:spacing w:val="0"/>
          <w:w w:val="100"/>
          <w:highlight w:val="none"/>
        </w:rPr>
      </w:pPr>
    </w:p>
    <w:p>
      <w:pPr>
        <w:spacing w:line="360" w:lineRule="auto"/>
        <w:ind w:left="422" w:hanging="442" w:hangingChars="200"/>
        <w:rPr>
          <w:rFonts w:hint="eastAsia" w:ascii="仿宋" w:hAnsi="仿宋" w:eastAsia="仿宋" w:cs="仿宋"/>
          <w:b/>
          <w:color w:val="000000"/>
          <w:spacing w:val="0"/>
          <w:w w:val="100"/>
          <w:szCs w:val="21"/>
          <w:highlight w:val="none"/>
        </w:rPr>
      </w:pPr>
      <w:r>
        <w:rPr>
          <w:rFonts w:hint="eastAsia" w:ascii="仿宋" w:hAnsi="仿宋" w:eastAsia="仿宋" w:cs="仿宋"/>
          <w:b/>
          <w:color w:val="000000"/>
          <w:spacing w:val="0"/>
          <w:w w:val="100"/>
          <w:szCs w:val="21"/>
          <w:highlight w:val="none"/>
        </w:rPr>
        <w:t>注：须附</w:t>
      </w:r>
      <w:r>
        <w:rPr>
          <w:rFonts w:hint="eastAsia" w:ascii="仿宋" w:hAnsi="仿宋" w:eastAsia="仿宋" w:cs="仿宋"/>
          <w:b/>
          <w:color w:val="000000"/>
          <w:spacing w:val="0"/>
          <w:w w:val="100"/>
          <w:szCs w:val="21"/>
          <w:highlight w:val="none"/>
          <w:lang w:eastAsia="zh-CN"/>
        </w:rPr>
        <w:t>供应商</w:t>
      </w:r>
      <w:r>
        <w:rPr>
          <w:rFonts w:hint="eastAsia" w:ascii="仿宋" w:hAnsi="仿宋" w:eastAsia="仿宋" w:cs="仿宋"/>
          <w:b/>
          <w:color w:val="000000"/>
          <w:spacing w:val="0"/>
          <w:w w:val="100"/>
          <w:szCs w:val="21"/>
          <w:highlight w:val="none"/>
        </w:rPr>
        <w:t>代表（</w:t>
      </w:r>
      <w:r>
        <w:rPr>
          <w:rFonts w:hint="eastAsia" w:ascii="仿宋" w:hAnsi="仿宋" w:eastAsia="仿宋" w:cs="仿宋"/>
          <w:b/>
          <w:color w:val="000000"/>
          <w:spacing w:val="0"/>
          <w:w w:val="100"/>
          <w:szCs w:val="21"/>
          <w:highlight w:val="none"/>
          <w:lang w:eastAsia="zh-CN"/>
        </w:rPr>
        <w:t>被授权人</w:t>
      </w:r>
      <w:r>
        <w:rPr>
          <w:rFonts w:hint="eastAsia" w:ascii="仿宋" w:hAnsi="仿宋" w:eastAsia="仿宋" w:cs="仿宋"/>
          <w:b/>
          <w:color w:val="000000"/>
          <w:spacing w:val="0"/>
          <w:w w:val="100"/>
          <w:szCs w:val="21"/>
          <w:highlight w:val="none"/>
        </w:rPr>
        <w:t>）身份证复印件。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授权代表人身份证复印件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（正面）</w:t>
            </w:r>
          </w:p>
        </w:tc>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授权代表人身份证复印件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（反面）</w:t>
            </w:r>
          </w:p>
        </w:tc>
      </w:tr>
    </w:tbl>
    <w:p>
      <w:pPr>
        <w:spacing w:line="480" w:lineRule="exact"/>
        <w:rPr>
          <w:rFonts w:hint="eastAsia" w:ascii="仿宋" w:hAnsi="仿宋" w:eastAsia="仿宋" w:cs="仿宋"/>
          <w:b/>
          <w:color w:val="000000"/>
          <w:spacing w:val="0"/>
          <w:w w:val="100"/>
          <w:sz w:val="24"/>
          <w:highlight w:val="none"/>
        </w:rPr>
      </w:pPr>
    </w:p>
    <w:p>
      <w:pPr>
        <w:spacing w:line="480" w:lineRule="exact"/>
        <w:rPr>
          <w:rFonts w:hint="default" w:ascii="仿宋" w:hAnsi="仿宋" w:eastAsia="仿宋" w:cs="仿宋"/>
          <w:b/>
          <w:color w:val="000000"/>
          <w:spacing w:val="0"/>
          <w:w w:val="100"/>
          <w:sz w:val="24"/>
          <w:highlight w:val="none"/>
          <w:lang w:val="en-US" w:eastAsia="zh-CN"/>
        </w:rPr>
      </w:pPr>
      <w:r>
        <w:rPr>
          <w:rFonts w:hint="eastAsia" w:ascii="仿宋" w:hAnsi="仿宋" w:eastAsia="仿宋" w:cs="仿宋"/>
          <w:b/>
          <w:color w:val="000000"/>
          <w:spacing w:val="0"/>
          <w:w w:val="100"/>
          <w:sz w:val="24"/>
          <w:highlight w:val="none"/>
          <w:lang w:val="en-US" w:eastAsia="zh-CN"/>
        </w:rPr>
        <w:t>注:如是法定代表人本人参与本次谈判活动的可不提供本页。</w:t>
      </w:r>
    </w:p>
    <w:p>
      <w:pPr>
        <w:pStyle w:val="2"/>
        <w:spacing w:line="360" w:lineRule="auto"/>
        <w:ind w:left="599"/>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0"/>
        </w:numPr>
        <w:spacing w:line="480" w:lineRule="exact"/>
        <w:ind w:leftChars="0"/>
        <w:outlineLvl w:val="0"/>
        <w:rPr>
          <w:rFonts w:hint="eastAsia" w:ascii="仿宋" w:hAnsi="仿宋" w:eastAsia="仿宋" w:cs="仿宋"/>
          <w:b/>
          <w:bCs/>
          <w:color w:val="000000"/>
          <w:spacing w:val="0"/>
          <w:w w:val="100"/>
          <w:sz w:val="32"/>
          <w:szCs w:val="32"/>
          <w:highlight w:val="none"/>
        </w:rPr>
      </w:pPr>
      <w:bookmarkStart w:id="94" w:name="_Toc5962"/>
      <w:bookmarkStart w:id="95" w:name="_Toc10278"/>
      <w:bookmarkStart w:id="96" w:name="_Toc12321"/>
      <w:r>
        <w:rPr>
          <w:rFonts w:hint="eastAsia" w:ascii="宋体" w:hAnsi="宋体" w:eastAsia="宋体" w:cs="宋体"/>
          <w:b/>
          <w:bCs/>
          <w:spacing w:val="0"/>
          <w:w w:val="100"/>
          <w:sz w:val="36"/>
          <w:szCs w:val="36"/>
          <w:lang w:val="en-US" w:eastAsia="zh-CN" w:bidi="zh-CN"/>
        </w:rPr>
        <w:t>3、资格声明书格式</w:t>
      </w:r>
      <w:bookmarkEnd w:id="94"/>
      <w:bookmarkEnd w:id="95"/>
      <w:bookmarkEnd w:id="96"/>
    </w:p>
    <w:p>
      <w:pPr>
        <w:spacing w:line="480" w:lineRule="exact"/>
        <w:rPr>
          <w:rFonts w:hint="eastAsia" w:ascii="仿宋" w:hAnsi="仿宋" w:eastAsia="仿宋" w:cs="仿宋"/>
          <w:b/>
          <w:color w:val="000000"/>
          <w:spacing w:val="0"/>
          <w:w w:val="100"/>
          <w:sz w:val="24"/>
          <w:highlight w:val="none"/>
        </w:rPr>
      </w:pPr>
    </w:p>
    <w:p>
      <w:pPr>
        <w:pStyle w:val="13"/>
        <w:spacing w:line="480" w:lineRule="exact"/>
        <w:jc w:val="center"/>
        <w:rPr>
          <w:rFonts w:hint="eastAsia" w:ascii="仿宋" w:hAnsi="仿宋" w:eastAsia="仿宋" w:cs="仿宋"/>
          <w:b/>
          <w:color w:val="000000"/>
          <w:spacing w:val="0"/>
          <w:w w:val="100"/>
          <w:sz w:val="32"/>
          <w:szCs w:val="32"/>
          <w:highlight w:val="none"/>
        </w:rPr>
      </w:pPr>
      <w:r>
        <w:rPr>
          <w:rFonts w:hint="eastAsia" w:ascii="仿宋" w:hAnsi="仿宋" w:eastAsia="仿宋" w:cs="仿宋"/>
          <w:b/>
          <w:color w:val="000000"/>
          <w:spacing w:val="0"/>
          <w:w w:val="100"/>
          <w:sz w:val="32"/>
          <w:szCs w:val="32"/>
          <w:highlight w:val="none"/>
        </w:rPr>
        <w:t>资格声明</w:t>
      </w:r>
    </w:p>
    <w:p>
      <w:pPr>
        <w:pStyle w:val="13"/>
        <w:spacing w:line="480" w:lineRule="exact"/>
        <w:ind w:leftChars="200"/>
        <w:rPr>
          <w:rFonts w:hint="eastAsia" w:ascii="仿宋" w:hAnsi="仿宋" w:eastAsia="仿宋" w:cs="仿宋"/>
          <w:color w:val="000000"/>
          <w:spacing w:val="0"/>
          <w:w w:val="100"/>
          <w:highlight w:val="none"/>
        </w:rPr>
      </w:pPr>
      <w:r>
        <w:rPr>
          <w:rFonts w:hint="eastAsia" w:ascii="仿宋" w:hAnsi="仿宋" w:eastAsia="仿宋" w:cs="仿宋"/>
          <w:b/>
          <w:color w:val="000000"/>
          <w:spacing w:val="0"/>
          <w:w w:val="100"/>
          <w:sz w:val="24"/>
          <w:highlight w:val="none"/>
        </w:rPr>
        <w:t>致:广东</w:t>
      </w:r>
      <w:r>
        <w:rPr>
          <w:rFonts w:hint="eastAsia" w:ascii="仿宋" w:hAnsi="仿宋" w:eastAsia="仿宋" w:cs="仿宋"/>
          <w:b/>
          <w:color w:val="000000"/>
          <w:spacing w:val="0"/>
          <w:w w:val="100"/>
          <w:sz w:val="24"/>
          <w:highlight w:val="none"/>
          <w:lang w:val="en-US" w:eastAsia="zh-CN"/>
        </w:rPr>
        <w:t>至臻项目管理</w:t>
      </w:r>
      <w:r>
        <w:rPr>
          <w:rFonts w:hint="eastAsia" w:ascii="仿宋" w:hAnsi="仿宋" w:eastAsia="仿宋" w:cs="仿宋"/>
          <w:b/>
          <w:color w:val="000000"/>
          <w:spacing w:val="0"/>
          <w:w w:val="100"/>
          <w:sz w:val="24"/>
          <w:highlight w:val="none"/>
        </w:rPr>
        <w:t>有限公司</w:t>
      </w:r>
    </w:p>
    <w:p>
      <w:pPr>
        <w:pStyle w:val="13"/>
        <w:spacing w:line="480" w:lineRule="exact"/>
        <w:rPr>
          <w:rFonts w:hint="eastAsia" w:ascii="仿宋" w:hAnsi="仿宋" w:eastAsia="仿宋" w:cs="仿宋"/>
          <w:color w:val="000000"/>
          <w:spacing w:val="0"/>
          <w:w w:val="100"/>
          <w:highlight w:val="none"/>
        </w:rPr>
      </w:pP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为响应你方组织的</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采购项目名称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kern w:val="28"/>
          <w:highlight w:val="none"/>
        </w:rPr>
        <w:t>采购项目</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rPr>
        <w:t>]，我方愿参与</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w:t>
      </w: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我方作为</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lang w:val="en-US" w:eastAsia="zh-CN"/>
        </w:rPr>
        <w:t>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是在法律、财务和运作上独立于采购人、采购代理机构的</w:t>
      </w:r>
      <w:r>
        <w:rPr>
          <w:rFonts w:hint="eastAsia" w:ascii="仿宋" w:hAnsi="仿宋" w:eastAsia="仿宋" w:cs="仿宋"/>
          <w:color w:val="000000"/>
          <w:spacing w:val="0"/>
          <w:w w:val="100"/>
          <w:highlight w:val="none"/>
          <w:lang w:eastAsia="zh-CN"/>
        </w:rPr>
        <w:t>供应商</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满足</w:t>
      </w:r>
      <w:r>
        <w:rPr>
          <w:rFonts w:hint="eastAsia" w:ascii="仿宋" w:hAnsi="仿宋" w:eastAsia="仿宋" w:cs="仿宋"/>
          <w:color w:val="000000"/>
          <w:spacing w:val="0"/>
          <w:w w:val="100"/>
          <w:highlight w:val="none"/>
        </w:rPr>
        <w:t>“用户需求书”中全部的</w:t>
      </w:r>
      <w:r>
        <w:rPr>
          <w:rFonts w:hint="eastAsia" w:ascii="仿宋" w:hAnsi="仿宋" w:eastAsia="仿宋" w:cs="仿宋"/>
          <w:color w:val="000000"/>
          <w:spacing w:val="0"/>
          <w:w w:val="100"/>
          <w:highlight w:val="none"/>
          <w:lang w:val="en-US" w:eastAsia="zh-CN"/>
        </w:rPr>
        <w:t>内容及要求</w:t>
      </w:r>
      <w:r>
        <w:rPr>
          <w:rFonts w:hint="eastAsia" w:ascii="仿宋" w:hAnsi="仿宋" w:eastAsia="仿宋" w:cs="仿宋"/>
          <w:color w:val="000000"/>
          <w:spacing w:val="0"/>
          <w:w w:val="100"/>
          <w:highlight w:val="none"/>
        </w:rPr>
        <w:t>，提交所有文件和全部说明是真实的和正确的。</w:t>
      </w: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我方符合法律、行政法规规定的其他条件，满足</w:t>
      </w:r>
      <w:r>
        <w:rPr>
          <w:rFonts w:hint="eastAsia" w:ascii="仿宋" w:hAnsi="仿宋" w:eastAsia="仿宋" w:cs="仿宋"/>
          <w:color w:val="000000"/>
          <w:spacing w:val="0"/>
          <w:w w:val="100"/>
          <w:highlight w:val="none"/>
          <w:lang w:eastAsia="zh-CN"/>
        </w:rPr>
        <w:t>采购</w:t>
      </w:r>
      <w:r>
        <w:rPr>
          <w:rFonts w:hint="eastAsia" w:ascii="仿宋" w:hAnsi="仿宋" w:eastAsia="仿宋" w:cs="仿宋"/>
          <w:color w:val="000000"/>
          <w:spacing w:val="0"/>
          <w:w w:val="100"/>
          <w:highlight w:val="none"/>
        </w:rPr>
        <w:t>要求。</w:t>
      </w: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我方理解你方可能还要求提供更进一步的资格资料，并愿意应你方的要求提交。</w:t>
      </w: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w:t>
      </w:r>
      <w:r>
        <w:rPr>
          <w:rFonts w:hint="eastAsia" w:ascii="仿宋" w:hAnsi="仿宋" w:eastAsia="仿宋" w:cs="仿宋"/>
          <w:color w:val="000000"/>
          <w:spacing w:val="0"/>
          <w:w w:val="100"/>
          <w:highlight w:val="none"/>
          <w:lang w:val="en-US" w:eastAsia="zh-CN"/>
        </w:rPr>
        <w:t>符合谈判文件</w:t>
      </w:r>
      <w:r>
        <w:rPr>
          <w:rFonts w:hint="eastAsia" w:ascii="仿宋" w:hAnsi="仿宋" w:eastAsia="仿宋" w:cs="仿宋"/>
          <w:color w:val="000000"/>
          <w:spacing w:val="0"/>
          <w:w w:val="100"/>
          <w:highlight w:val="none"/>
        </w:rPr>
        <w:t>第一章</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邀请函中“供应商资格</w:t>
      </w:r>
      <w:r>
        <w:rPr>
          <w:rFonts w:hint="eastAsia" w:ascii="仿宋" w:hAnsi="仿宋" w:eastAsia="仿宋" w:cs="仿宋"/>
          <w:color w:val="000000"/>
          <w:spacing w:val="0"/>
          <w:w w:val="100"/>
          <w:highlight w:val="none"/>
          <w:lang w:val="en-US" w:eastAsia="zh-CN"/>
        </w:rPr>
        <w:t>要求</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并</w:t>
      </w:r>
      <w:r>
        <w:rPr>
          <w:rFonts w:hint="eastAsia" w:ascii="仿宋" w:hAnsi="仿宋" w:eastAsia="仿宋" w:cs="仿宋"/>
          <w:color w:val="000000"/>
          <w:spacing w:val="0"/>
          <w:w w:val="100"/>
          <w:highlight w:val="none"/>
        </w:rPr>
        <w:t>做出全面的响应。</w:t>
      </w:r>
    </w:p>
    <w:p>
      <w:pPr>
        <w:pStyle w:val="13"/>
        <w:spacing w:line="480" w:lineRule="exact"/>
        <w:rPr>
          <w:rFonts w:hint="eastAsia" w:ascii="仿宋" w:hAnsi="仿宋" w:eastAsia="仿宋" w:cs="仿宋"/>
          <w:color w:val="000000"/>
          <w:spacing w:val="0"/>
          <w:w w:val="100"/>
          <w:highlight w:val="none"/>
        </w:rPr>
      </w:pPr>
    </w:p>
    <w:p>
      <w:pPr>
        <w:pStyle w:val="13"/>
        <w:spacing w:line="480" w:lineRule="exact"/>
        <w:ind w:leftChars="200"/>
        <w:rPr>
          <w:rFonts w:hint="default" w:ascii="仿宋" w:hAnsi="仿宋" w:eastAsia="仿宋" w:cs="仿宋"/>
          <w:color w:val="000000"/>
          <w:spacing w:val="0"/>
          <w:w w:val="100"/>
          <w:highlight w:val="none"/>
          <w:lang w:val="en-US" w:eastAsia="zh-CN"/>
        </w:rPr>
      </w:pPr>
      <w:r>
        <w:rPr>
          <w:rFonts w:hint="eastAsia" w:ascii="仿宋" w:hAnsi="仿宋" w:eastAsia="仿宋" w:cs="仿宋"/>
          <w:color w:val="000000"/>
          <w:spacing w:val="0"/>
          <w:w w:val="100"/>
          <w:highlight w:val="none"/>
          <w:lang w:val="en-US" w:eastAsia="zh-CN"/>
        </w:rPr>
        <w:t>特此声明!</w:t>
      </w:r>
    </w:p>
    <w:p>
      <w:pPr>
        <w:pStyle w:val="13"/>
        <w:spacing w:line="480" w:lineRule="exact"/>
        <w:rPr>
          <w:rFonts w:hint="eastAsia" w:ascii="仿宋" w:hAnsi="仿宋" w:eastAsia="仿宋" w:cs="仿宋"/>
          <w:color w:val="000000"/>
          <w:spacing w:val="0"/>
          <w:w w:val="100"/>
          <w:highlight w:val="none"/>
        </w:rPr>
      </w:pPr>
    </w:p>
    <w:p>
      <w:pPr>
        <w:pStyle w:val="2"/>
        <w:tabs>
          <w:tab w:val="left" w:pos="6267"/>
          <w:tab w:val="left" w:pos="9507"/>
        </w:tabs>
        <w:spacing w:before="66" w:line="360" w:lineRule="auto"/>
        <w:ind w:left="448" w:right="816"/>
        <w:rPr>
          <w:rFonts w:hint="default" w:ascii="仿宋" w:hAnsi="仿宋" w:eastAsia="仿宋" w:cs="仿宋"/>
          <w:spacing w:val="0"/>
          <w:w w:val="100"/>
          <w:sz w:val="21"/>
          <w:szCs w:val="21"/>
          <w:u w:val="single"/>
          <w:lang w:val="en-US" w:eastAsia="zh-CN"/>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tabs>
          <w:tab w:val="left" w:pos="1787"/>
          <w:tab w:val="left" w:pos="2627"/>
          <w:tab w:val="left" w:pos="3467"/>
        </w:tabs>
        <w:spacing w:before="69"/>
        <w:ind w:left="527"/>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6"/>
        <w:rPr>
          <w:rFonts w:hint="eastAsia" w:ascii="仿宋" w:hAnsi="仿宋" w:eastAsia="仿宋" w:cs="仿宋"/>
          <w:sz w:val="2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spacing w:val="0"/>
          <w:w w:val="100"/>
          <w:highlight w:val="none"/>
        </w:rPr>
      </w:pPr>
      <w:bookmarkStart w:id="97" w:name="附 2：关于具有良好的商业信誉和健全的财务会计制度承诺函"/>
      <w:bookmarkEnd w:id="97"/>
      <w:r>
        <w:rPr>
          <w:rFonts w:hint="eastAsia" w:ascii="仿宋" w:hAnsi="仿宋" w:eastAsia="仿宋" w:cs="仿宋"/>
          <w:spacing w:val="0"/>
          <w:w w:val="100"/>
          <w:highlight w:val="none"/>
        </w:rPr>
        <w:t>附 2：关于具有良好的商业信誉和健全的财务会计制度承诺函</w:t>
      </w:r>
    </w:p>
    <w:p>
      <w:pPr>
        <w:pStyle w:val="2"/>
        <w:rPr>
          <w:rFonts w:hint="eastAsia" w:ascii="仿宋" w:hAnsi="仿宋" w:eastAsia="仿宋" w:cs="仿宋"/>
          <w:b/>
          <w:spacing w:val="0"/>
          <w:w w:val="100"/>
          <w:sz w:val="28"/>
        </w:rPr>
      </w:pPr>
    </w:p>
    <w:p>
      <w:pPr>
        <w:pStyle w:val="2"/>
        <w:spacing w:before="8"/>
        <w:rPr>
          <w:rFonts w:hint="eastAsia" w:ascii="仿宋" w:hAnsi="仿宋" w:eastAsia="仿宋" w:cs="仿宋"/>
          <w:b/>
          <w:spacing w:val="0"/>
          <w:w w:val="100"/>
          <w:sz w:val="41"/>
        </w:rPr>
      </w:pPr>
    </w:p>
    <w:p>
      <w:pPr>
        <w:spacing w:before="0"/>
        <w:ind w:left="0" w:right="383"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具有良好的商业信誉和健全的财务会计制度承诺函</w:t>
      </w:r>
    </w:p>
    <w:p>
      <w:pPr>
        <w:pStyle w:val="2"/>
        <w:spacing w:before="7"/>
        <w:rPr>
          <w:rFonts w:hint="eastAsia" w:ascii="仿宋" w:hAnsi="仿宋" w:eastAsia="仿宋" w:cs="仿宋"/>
          <w:b/>
          <w:spacing w:val="0"/>
          <w:w w:val="100"/>
          <w:sz w:val="39"/>
        </w:rPr>
      </w:pPr>
    </w:p>
    <w:p>
      <w:pPr>
        <w:pStyle w:val="9"/>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rPr>
          <w:rFonts w:hint="eastAsia" w:ascii="仿宋" w:hAnsi="仿宋" w:eastAsia="仿宋" w:cs="仿宋"/>
          <w:b/>
          <w:spacing w:val="0"/>
          <w:w w:val="100"/>
          <w:sz w:val="20"/>
        </w:rPr>
      </w:pP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我公司（单位）自成立至今具有良好的商业信誉和健全的财务会计制度。</w:t>
      </w: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2"/>
        <w:rPr>
          <w:rFonts w:hint="eastAsia" w:ascii="仿宋" w:hAnsi="仿宋" w:eastAsia="仿宋" w:cs="仿宋"/>
          <w:spacing w:val="0"/>
          <w:w w:val="100"/>
          <w:sz w:val="20"/>
        </w:rPr>
      </w:pPr>
    </w:p>
    <w:p>
      <w:pPr>
        <w:pStyle w:val="2"/>
        <w:rPr>
          <w:rFonts w:hint="eastAsia" w:ascii="仿宋" w:hAnsi="仿宋" w:eastAsia="仿宋" w:cs="仿宋"/>
          <w:spacing w:val="0"/>
          <w:w w:val="100"/>
          <w:sz w:val="20"/>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bookmarkStart w:id="98" w:name="附 3：关于依法缴纳税收承诺函（如非“三合一”或“五合一”证照的， 须同时提供税"/>
      <w:bookmarkEnd w:id="98"/>
      <w:r>
        <w:rPr>
          <w:rFonts w:hint="eastAsia" w:ascii="仿宋" w:hAnsi="仿宋" w:eastAsia="仿宋" w:cs="仿宋"/>
          <w:spacing w:val="0"/>
          <w:w w:val="100"/>
          <w:highlight w:val="none"/>
        </w:rPr>
        <w:t>附 3：关于依法缴纳税收承诺函（如非“三合一”或“五合一”证照的，须同时提供税务登记证）</w:t>
      </w:r>
    </w:p>
    <w:p>
      <w:pPr>
        <w:pStyle w:val="2"/>
        <w:rPr>
          <w:rFonts w:hint="eastAsia" w:ascii="仿宋" w:hAnsi="仿宋" w:eastAsia="仿宋" w:cs="仿宋"/>
          <w:b/>
          <w:spacing w:val="0"/>
          <w:w w:val="100"/>
          <w:sz w:val="28"/>
          <w:highlight w:val="none"/>
        </w:rPr>
      </w:pPr>
    </w:p>
    <w:p>
      <w:pPr>
        <w:pStyle w:val="2"/>
        <w:spacing w:before="7"/>
        <w:rPr>
          <w:rFonts w:hint="eastAsia" w:ascii="仿宋" w:hAnsi="仿宋" w:eastAsia="仿宋" w:cs="仿宋"/>
          <w:b/>
          <w:spacing w:val="0"/>
          <w:w w:val="100"/>
          <w:sz w:val="26"/>
        </w:rPr>
      </w:pPr>
    </w:p>
    <w:p>
      <w:pPr>
        <w:spacing w:before="1"/>
        <w:ind w:left="0" w:right="129"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依法缴纳税收承诺函</w:t>
      </w:r>
    </w:p>
    <w:p>
      <w:pPr>
        <w:pStyle w:val="2"/>
        <w:spacing w:before="4"/>
        <w:rPr>
          <w:rFonts w:hint="eastAsia" w:ascii="仿宋" w:hAnsi="仿宋" w:eastAsia="仿宋" w:cs="仿宋"/>
          <w:b/>
          <w:spacing w:val="0"/>
          <w:w w:val="100"/>
          <w:sz w:val="39"/>
        </w:rPr>
      </w:pPr>
    </w:p>
    <w:p>
      <w:pPr>
        <w:pStyle w:val="9"/>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pacing w:val="0"/>
          <w:w w:val="100"/>
          <w:sz w:val="22"/>
        </w:rPr>
      </w:pP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我公司（单位）自成立至今均依法缴纳了各项税费，没有偷税、漏税行为。</w:t>
      </w: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2"/>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pacing w:val="0"/>
          <w:w w:val="100"/>
          <w:sz w:val="17"/>
        </w:rPr>
      </w:pPr>
    </w:p>
    <w:p>
      <w:pPr>
        <w:pStyle w:val="2"/>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注：依法免税的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，应提供相应文件证明其依法免税。</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6"/>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
        <w:rPr>
          <w:rFonts w:hint="eastAsia" w:ascii="仿宋" w:hAnsi="仿宋" w:eastAsia="仿宋" w:cs="仿宋"/>
          <w:color w:val="000000"/>
          <w:spacing w:val="0"/>
          <w:w w:val="1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bookmarkStart w:id="99" w:name="附 4：关于依法缴纳社会保障资金承诺函（如非“五合一”证照，须同时提供社保登记证"/>
      <w:bookmarkEnd w:id="99"/>
      <w:r>
        <w:rPr>
          <w:rFonts w:hint="eastAsia" w:ascii="仿宋" w:hAnsi="仿宋" w:eastAsia="仿宋" w:cs="仿宋"/>
          <w:spacing w:val="0"/>
          <w:w w:val="100"/>
          <w:highlight w:val="none"/>
        </w:rPr>
        <w:t>附 4：关于依法缴纳社会保障资金承诺函（如非“五合一”证照，须同时提供社保登记证）</w:t>
      </w:r>
    </w:p>
    <w:p>
      <w:pPr>
        <w:pStyle w:val="2"/>
        <w:rPr>
          <w:rFonts w:hint="eastAsia" w:ascii="仿宋" w:hAnsi="仿宋" w:eastAsia="仿宋" w:cs="仿宋"/>
          <w:b/>
          <w:spacing w:val="0"/>
          <w:w w:val="100"/>
          <w:sz w:val="28"/>
          <w:highlight w:val="yellow"/>
        </w:rPr>
      </w:pPr>
    </w:p>
    <w:p>
      <w:pPr>
        <w:spacing w:before="199"/>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依法缴纳社会保障资金承诺函</w:t>
      </w:r>
    </w:p>
    <w:p>
      <w:pPr>
        <w:pStyle w:val="2"/>
        <w:spacing w:before="7"/>
        <w:rPr>
          <w:rFonts w:hint="eastAsia" w:ascii="仿宋" w:hAnsi="仿宋" w:eastAsia="仿宋" w:cs="仿宋"/>
          <w:b/>
          <w:spacing w:val="0"/>
          <w:w w:val="100"/>
          <w:sz w:val="39"/>
        </w:rPr>
      </w:pPr>
    </w:p>
    <w:p>
      <w:pPr>
        <w:pStyle w:val="9"/>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spacing w:before="1"/>
        <w:rPr>
          <w:rFonts w:hint="eastAsia" w:ascii="仿宋" w:hAnsi="仿宋" w:eastAsia="仿宋" w:cs="仿宋"/>
          <w:b/>
          <w:spacing w:val="0"/>
          <w:w w:val="100"/>
          <w:sz w:val="22"/>
        </w:rPr>
      </w:pP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我公司（单位）自成立至今均依法缴纳了各项社会保障资金，没有欠缴、漏缴行为。</w:t>
      </w: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2"/>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注：依法不需要缴纳社会保障资金的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，应提供相应文件证明其不需要缴纳社会保障资金。</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spacing w:val="0"/>
          <w:w w:val="100"/>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spacing w:val="0"/>
          <w:w w:val="100"/>
          <w:highlight w:val="none"/>
        </w:rPr>
      </w:pPr>
      <w:bookmarkStart w:id="100" w:name="附 5：参加政府采购活动前三年内，在经营活动中没有重大违法记录的承诺函"/>
      <w:bookmarkEnd w:id="100"/>
      <w:r>
        <w:rPr>
          <w:rFonts w:hint="eastAsia" w:ascii="仿宋" w:hAnsi="仿宋" w:eastAsia="仿宋" w:cs="仿宋"/>
          <w:spacing w:val="0"/>
          <w:w w:val="100"/>
          <w:highlight w:val="none"/>
        </w:rPr>
        <w:t>附 5：参加政府采购活动前三年内，在经营活动中没有重大违法记录的承诺函</w:t>
      </w:r>
    </w:p>
    <w:p>
      <w:pPr>
        <w:pStyle w:val="2"/>
        <w:rPr>
          <w:rFonts w:hint="eastAsia" w:ascii="仿宋" w:hAnsi="仿宋" w:eastAsia="仿宋" w:cs="仿宋"/>
          <w:b/>
          <w:spacing w:val="0"/>
          <w:w w:val="100"/>
          <w:sz w:val="28"/>
        </w:rPr>
      </w:pPr>
    </w:p>
    <w:p>
      <w:pPr>
        <w:pStyle w:val="2"/>
        <w:spacing w:before="9"/>
        <w:rPr>
          <w:rFonts w:hint="eastAsia" w:ascii="仿宋" w:hAnsi="仿宋" w:eastAsia="仿宋" w:cs="仿宋"/>
          <w:b/>
          <w:spacing w:val="0"/>
          <w:w w:val="100"/>
          <w:sz w:val="20"/>
        </w:rPr>
      </w:pPr>
    </w:p>
    <w:p>
      <w:pPr>
        <w:spacing w:before="0"/>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承诺函</w:t>
      </w:r>
    </w:p>
    <w:p>
      <w:pPr>
        <w:pStyle w:val="2"/>
        <w:rPr>
          <w:rFonts w:hint="eastAsia" w:ascii="仿宋" w:hAnsi="仿宋" w:eastAsia="仿宋" w:cs="仿宋"/>
          <w:b/>
          <w:spacing w:val="0"/>
          <w:w w:val="100"/>
          <w:sz w:val="32"/>
        </w:rPr>
      </w:pPr>
    </w:p>
    <w:p>
      <w:pPr>
        <w:pStyle w:val="9"/>
        <w:spacing w:before="216"/>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spacing w:before="9"/>
        <w:rPr>
          <w:rFonts w:hint="eastAsia" w:ascii="仿宋" w:hAnsi="仿宋" w:eastAsia="仿宋" w:cs="仿宋"/>
          <w:b/>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pacing w:val="0"/>
          <w:w w:val="100"/>
        </w:rPr>
      </w:pPr>
      <w:r>
        <w:rPr>
          <w:rFonts w:hint="eastAsia" w:ascii="仿宋" w:hAnsi="仿宋" w:eastAsia="仿宋" w:cs="仿宋"/>
          <w:spacing w:val="0"/>
          <w:w w:val="100"/>
        </w:rPr>
        <w:t>我公司（单位）在参加本次政府采购活动前三年内，在经营活动中没有重大违法记录。</w:t>
      </w: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6"/>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bookmarkStart w:id="101" w:name="附 6：关于具备履行合同所必需的设备和专业技术能力和法律、行政法规规定的其他条件"/>
      <w:bookmarkEnd w:id="101"/>
      <w:r>
        <w:rPr>
          <w:rFonts w:hint="eastAsia" w:ascii="仿宋" w:hAnsi="仿宋" w:eastAsia="仿宋" w:cs="仿宋"/>
          <w:spacing w:val="0"/>
          <w:w w:val="100"/>
          <w:highlight w:val="none"/>
        </w:rPr>
        <w:t>附 6：关于具备履行合同所必需的设备和专业技术能力和法律、行政法规规定的其他条件的承诺函</w:t>
      </w:r>
    </w:p>
    <w:p>
      <w:pPr>
        <w:pStyle w:val="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pacing w:val="0"/>
          <w:w w:val="100"/>
          <w:sz w:val="36"/>
          <w:highlight w:val="none"/>
        </w:rPr>
      </w:pPr>
    </w:p>
    <w:p>
      <w:pPr>
        <w:spacing w:before="0"/>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承诺函</w:t>
      </w:r>
    </w:p>
    <w:p>
      <w:pPr>
        <w:pStyle w:val="2"/>
        <w:rPr>
          <w:rFonts w:hint="eastAsia" w:ascii="仿宋" w:hAnsi="仿宋" w:eastAsia="仿宋" w:cs="仿宋"/>
          <w:b/>
          <w:spacing w:val="0"/>
          <w:w w:val="100"/>
          <w:sz w:val="32"/>
        </w:rPr>
      </w:pPr>
    </w:p>
    <w:p>
      <w:pPr>
        <w:pStyle w:val="9"/>
        <w:spacing w:before="274"/>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spacing w:before="1"/>
        <w:rPr>
          <w:rFonts w:hint="eastAsia" w:ascii="仿宋" w:hAnsi="仿宋" w:eastAsia="仿宋" w:cs="仿宋"/>
          <w:b/>
          <w:spacing w:val="0"/>
          <w:w w:val="100"/>
          <w:sz w:val="22"/>
        </w:rPr>
      </w:pPr>
    </w:p>
    <w:p>
      <w:pPr>
        <w:pStyle w:val="2"/>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我公司（单位）参加（项目名称：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u w:val="none"/>
          <w:lang w:val="en-US" w:eastAsia="zh-CN"/>
        </w:rPr>
        <w:t>,</w:t>
      </w:r>
      <w:r>
        <w:rPr>
          <w:rFonts w:hint="eastAsia" w:ascii="仿宋" w:hAnsi="仿宋" w:eastAsia="仿宋" w:cs="仿宋"/>
          <w:spacing w:val="0"/>
          <w:w w:val="100"/>
        </w:rPr>
        <w:t>项目编号：</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）的谈判，郑重承诺如下：</w:t>
      </w:r>
    </w:p>
    <w:p>
      <w:pPr>
        <w:pStyle w:val="2"/>
        <w:keepNext w:val="0"/>
        <w:keepLines w:val="0"/>
        <w:pageBreakBefore w:val="0"/>
        <w:widowControl w:val="0"/>
        <w:numPr>
          <w:ilvl w:val="0"/>
          <w:numId w:val="71"/>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我单位具备履行本项目合同所必需的设备和专业技术能力。</w:t>
      </w:r>
    </w:p>
    <w:p>
      <w:pPr>
        <w:pStyle w:val="2"/>
        <w:keepNext w:val="0"/>
        <w:keepLines w:val="0"/>
        <w:pageBreakBefore w:val="0"/>
        <w:widowControl w:val="0"/>
        <w:numPr>
          <w:ilvl w:val="0"/>
          <w:numId w:val="71"/>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我单位是符合国家法律、行政法规规定要求的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rPr>
      </w:pPr>
      <w:r>
        <w:rPr>
          <w:rFonts w:hint="eastAsia" w:ascii="仿宋" w:hAnsi="仿宋" w:eastAsia="仿宋" w:cs="仿宋"/>
        </w:rPr>
        <w:br w:type="page"/>
      </w: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7</w:t>
      </w:r>
      <w:r>
        <w:rPr>
          <w:rFonts w:hint="eastAsia" w:ascii="仿宋" w:hAnsi="仿宋" w:eastAsia="仿宋" w:cs="仿宋"/>
          <w:spacing w:val="0"/>
          <w:w w:val="100"/>
          <w:highlight w:val="none"/>
        </w:rPr>
        <w:t>：关于</w:t>
      </w:r>
      <w:r>
        <w:rPr>
          <w:rFonts w:hint="eastAsia" w:ascii="仿宋" w:hAnsi="仿宋" w:eastAsia="仿宋" w:cs="仿宋"/>
          <w:spacing w:val="0"/>
          <w:w w:val="100"/>
          <w:highlight w:val="none"/>
          <w:lang w:val="en-US" w:eastAsia="zh-CN"/>
        </w:rPr>
        <w:t>响应供应商必须是在中华人民共和国境内注册的独立法人或其他组织，具有从事本项目的技术服务能力</w:t>
      </w:r>
      <w:r>
        <w:rPr>
          <w:rFonts w:hint="eastAsia" w:ascii="仿宋" w:hAnsi="仿宋" w:eastAsia="仿宋" w:cs="仿宋"/>
          <w:spacing w:val="0"/>
          <w:w w:val="100"/>
          <w:highlight w:val="none"/>
        </w:rPr>
        <w:t>的承诺函</w:t>
      </w:r>
    </w:p>
    <w:p>
      <w:pPr>
        <w:pStyle w:val="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pacing w:val="0"/>
          <w:w w:val="100"/>
          <w:sz w:val="36"/>
          <w:highlight w:val="none"/>
        </w:rPr>
      </w:pPr>
    </w:p>
    <w:p>
      <w:pPr>
        <w:spacing w:before="0"/>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承诺函</w:t>
      </w:r>
    </w:p>
    <w:p>
      <w:pPr>
        <w:pStyle w:val="2"/>
        <w:rPr>
          <w:rFonts w:hint="eastAsia" w:ascii="仿宋" w:hAnsi="仿宋" w:eastAsia="仿宋" w:cs="仿宋"/>
          <w:b/>
          <w:spacing w:val="0"/>
          <w:w w:val="100"/>
          <w:sz w:val="32"/>
        </w:rPr>
      </w:pPr>
    </w:p>
    <w:p>
      <w:pPr>
        <w:pStyle w:val="9"/>
        <w:spacing w:before="274"/>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spacing w:before="1"/>
        <w:rPr>
          <w:rFonts w:hint="eastAsia" w:ascii="仿宋" w:hAnsi="仿宋" w:eastAsia="仿宋" w:cs="仿宋"/>
          <w:b/>
          <w:spacing w:val="0"/>
          <w:w w:val="100"/>
          <w:sz w:val="22"/>
        </w:rPr>
      </w:pPr>
    </w:p>
    <w:p>
      <w:pPr>
        <w:pStyle w:val="2"/>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我公司（单位）参加（项目名称：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u w:val="none"/>
          <w:lang w:val="en-US" w:eastAsia="zh-CN"/>
        </w:rPr>
        <w:t>,</w:t>
      </w:r>
      <w:r>
        <w:rPr>
          <w:rFonts w:hint="eastAsia" w:ascii="仿宋" w:hAnsi="仿宋" w:eastAsia="仿宋" w:cs="仿宋"/>
          <w:spacing w:val="0"/>
          <w:w w:val="100"/>
        </w:rPr>
        <w:t>项目编号：</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）的谈判，郑重承诺如下：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我公司（单位）</w:t>
      </w:r>
      <w:r>
        <w:rPr>
          <w:rFonts w:hint="eastAsia" w:ascii="仿宋" w:hAnsi="仿宋" w:eastAsia="仿宋" w:cs="仿宋"/>
          <w:spacing w:val="0"/>
          <w:w w:val="100"/>
          <w:highlight w:val="none"/>
          <w:lang w:val="en-US" w:eastAsia="zh-CN"/>
        </w:rPr>
        <w:t>是在中华人民共和国境内注册的独立法人或其他组织，具有从事本项目的技术服务能力</w:t>
      </w:r>
      <w:r>
        <w:rPr>
          <w:rFonts w:hint="eastAsia" w:ascii="仿宋" w:hAnsi="仿宋" w:eastAsia="仿宋" w:cs="仿宋"/>
          <w:spacing w:val="0"/>
          <w:w w:val="100"/>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3" w:line="360" w:lineRule="auto"/>
        <w:ind w:leftChars="200" w:right="0" w:rightChars="0"/>
        <w:textAlignment w:val="auto"/>
        <w:rPr>
          <w:rFonts w:hint="eastAsia" w:ascii="仿宋" w:hAnsi="仿宋" w:eastAsia="仿宋" w:cs="仿宋"/>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rPr>
      </w:pPr>
    </w:p>
    <w:p>
      <w:pPr>
        <w:pStyle w:val="21"/>
        <w:rPr>
          <w:rFonts w:hint="eastAsia"/>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95" w:line="480" w:lineRule="auto"/>
        <w:ind w:left="0"/>
        <w:textAlignment w:val="auto"/>
        <w:rPr>
          <w:rFonts w:hint="eastAsia" w:ascii="仿宋" w:hAnsi="仿宋" w:eastAsia="仿宋" w:cs="仿宋"/>
          <w:spacing w:val="0"/>
          <w:w w:val="100"/>
          <w:highlight w:val="none"/>
          <w:lang w:val="en-US" w:eastAsia="zh-CN"/>
        </w:rPr>
      </w:pPr>
      <w:bookmarkStart w:id="102" w:name="附 7：非联合体投标承诺函"/>
      <w:bookmarkEnd w:id="102"/>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8</w:t>
      </w:r>
      <w:r>
        <w:rPr>
          <w:rFonts w:hint="eastAsia" w:ascii="仿宋" w:hAnsi="仿宋" w:eastAsia="仿宋" w:cs="仿宋"/>
          <w:spacing w:val="0"/>
          <w:w w:val="100"/>
          <w:highlight w:val="none"/>
        </w:rPr>
        <w:t>：</w:t>
      </w:r>
      <w:r>
        <w:rPr>
          <w:rFonts w:hint="eastAsia" w:ascii="仿宋" w:hAnsi="仿宋" w:eastAsia="仿宋" w:cs="仿宋"/>
          <w:spacing w:val="0"/>
          <w:w w:val="100"/>
          <w:highlight w:val="none"/>
          <w:lang w:val="en-US" w:eastAsia="zh-CN"/>
        </w:rPr>
        <w:t>法定代表人或单位负责人与参加本采购项目的其他供应商的法定代表人或单位负责人不为同一人且与其他供应商之间不存在直接控股、管理关系</w:t>
      </w:r>
    </w:p>
    <w:p>
      <w:pPr>
        <w:spacing w:before="56"/>
        <w:ind w:left="0" w:right="78" w:firstLine="0"/>
        <w:jc w:val="center"/>
        <w:rPr>
          <w:rFonts w:hint="eastAsia" w:ascii="仿宋" w:hAnsi="仿宋" w:eastAsia="仿宋" w:cs="仿宋"/>
          <w:b/>
          <w:bCs/>
          <w:spacing w:val="0"/>
          <w:w w:val="100"/>
          <w:sz w:val="32"/>
          <w:szCs w:val="32"/>
          <w:highlight w:val="none"/>
        </w:rPr>
      </w:pPr>
      <w:r>
        <w:rPr>
          <w:rFonts w:hint="eastAsia" w:ascii="仿宋" w:hAnsi="仿宋" w:eastAsia="仿宋" w:cs="仿宋"/>
          <w:b/>
          <w:bCs/>
          <w:spacing w:val="0"/>
          <w:w w:val="100"/>
          <w:sz w:val="32"/>
          <w:szCs w:val="32"/>
          <w:highlight w:val="none"/>
        </w:rPr>
        <w:t>承诺函</w:t>
      </w:r>
    </w:p>
    <w:p>
      <w:pPr>
        <w:pStyle w:val="2"/>
        <w:spacing w:before="3"/>
        <w:rPr>
          <w:rFonts w:hint="eastAsia" w:ascii="仿宋" w:hAnsi="仿宋" w:eastAsia="仿宋" w:cs="仿宋"/>
          <w:spacing w:val="0"/>
          <w:w w:val="100"/>
          <w:sz w:val="26"/>
        </w:rPr>
      </w:pPr>
    </w:p>
    <w:p>
      <w:pPr>
        <w:pStyle w:val="9"/>
        <w:spacing w:before="70"/>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lang w:val="en-US" w:eastAsia="zh-CN"/>
        </w:rPr>
        <w:t>广东至臻项目管理有限公司</w:t>
      </w:r>
    </w:p>
    <w:p>
      <w:pPr>
        <w:pStyle w:val="2"/>
        <w:spacing w:before="1" w:line="484" w:lineRule="auto"/>
        <w:ind w:left="728" w:right="279" w:hanging="629"/>
        <w:rPr>
          <w:rFonts w:hint="eastAsia" w:ascii="仿宋" w:hAnsi="仿宋" w:eastAsia="仿宋" w:cs="仿宋"/>
          <w:spacing w:val="0"/>
          <w:w w:val="100"/>
        </w:rPr>
      </w:pPr>
    </w:p>
    <w:p>
      <w:pPr>
        <w:pStyle w:val="2"/>
        <w:spacing w:before="1" w:line="484" w:lineRule="auto"/>
        <w:ind w:left="761" w:leftChars="346" w:right="279" w:firstLine="447" w:firstLineChars="213"/>
        <w:jc w:val="both"/>
        <w:rPr>
          <w:rFonts w:hint="eastAsia" w:ascii="仿宋" w:hAnsi="仿宋" w:eastAsia="仿宋" w:cs="仿宋"/>
          <w:spacing w:val="0"/>
          <w:w w:val="100"/>
        </w:rPr>
      </w:pPr>
      <w:r>
        <w:rPr>
          <w:rFonts w:hint="eastAsia" w:ascii="仿宋" w:hAnsi="仿宋" w:eastAsia="仿宋" w:cs="仿宋"/>
          <w:spacing w:val="0"/>
          <w:w w:val="100"/>
        </w:rPr>
        <w:t>关于贵公司</w:t>
      </w:r>
      <w:r>
        <w:rPr>
          <w:rFonts w:hint="eastAsia" w:ascii="仿宋" w:hAnsi="仿宋" w:eastAsia="仿宋" w:cs="仿宋"/>
          <w:spacing w:val="0"/>
          <w:w w:val="100"/>
          <w:u w:val="single"/>
          <w:lang w:val="en-US" w:eastAsia="zh-CN"/>
        </w:rPr>
        <w:t>2023</w:t>
      </w:r>
      <w:r>
        <w:rPr>
          <w:rFonts w:hint="eastAsia" w:ascii="仿宋" w:hAnsi="仿宋" w:eastAsia="仿宋" w:cs="仿宋"/>
          <w:spacing w:val="0"/>
          <w:w w:val="100"/>
        </w:rPr>
        <w:t>年</w:t>
      </w:r>
      <w:r>
        <w:rPr>
          <w:rFonts w:hint="eastAsia" w:ascii="仿宋" w:hAnsi="仿宋" w:eastAsia="仿宋" w:cs="仿宋"/>
          <w:spacing w:val="0"/>
          <w:w w:val="100"/>
          <w:u w:val="single"/>
          <w:lang w:val="en-US" w:eastAsia="zh-CN"/>
        </w:rPr>
        <w:t>06</w:t>
      </w:r>
      <w:r>
        <w:rPr>
          <w:rFonts w:hint="eastAsia" w:ascii="仿宋" w:hAnsi="仿宋" w:eastAsia="仿宋" w:cs="仿宋"/>
          <w:spacing w:val="0"/>
          <w:w w:val="100"/>
        </w:rPr>
        <w:t>月</w:t>
      </w:r>
      <w:r>
        <w:rPr>
          <w:rFonts w:hint="eastAsia" w:ascii="仿宋" w:hAnsi="仿宋" w:eastAsia="仿宋" w:cs="仿宋"/>
          <w:spacing w:val="0"/>
          <w:w w:val="100"/>
          <w:u w:val="single"/>
          <w:lang w:val="en-US" w:eastAsia="zh-CN"/>
        </w:rPr>
        <w:t>08</w:t>
      </w:r>
      <w:r>
        <w:rPr>
          <w:rFonts w:hint="eastAsia" w:ascii="仿宋" w:hAnsi="仿宋" w:eastAsia="仿宋" w:cs="仿宋"/>
          <w:spacing w:val="0"/>
          <w:w w:val="100"/>
        </w:rPr>
        <w:t>日发布</w:t>
      </w:r>
      <w:r>
        <w:rPr>
          <w:rFonts w:hint="eastAsia" w:ascii="仿宋" w:hAnsi="仿宋" w:eastAsia="仿宋" w:cs="仿宋"/>
          <w:spacing w:val="0"/>
          <w:w w:val="100"/>
          <w:u w:val="single"/>
          <w:lang w:eastAsia="zh-CN"/>
        </w:rPr>
        <w:t>（</w:t>
      </w:r>
      <w:r>
        <w:rPr>
          <w:rFonts w:hint="eastAsia" w:ascii="仿宋" w:hAnsi="仿宋" w:eastAsia="仿宋" w:cs="仿宋"/>
          <w:spacing w:val="0"/>
          <w:w w:val="100"/>
          <w:u w:val="single"/>
        </w:rPr>
        <w:t>项目</w:t>
      </w:r>
      <w:r>
        <w:rPr>
          <w:rFonts w:hint="eastAsia" w:ascii="仿宋" w:hAnsi="仿宋" w:eastAsia="仿宋" w:cs="仿宋"/>
          <w:spacing w:val="0"/>
          <w:w w:val="100"/>
          <w:u w:val="single"/>
          <w:lang w:val="en-US" w:eastAsia="zh-CN"/>
        </w:rPr>
        <w:t>名称，</w:t>
      </w:r>
      <w:r>
        <w:rPr>
          <w:rFonts w:hint="eastAsia" w:ascii="仿宋" w:hAnsi="仿宋" w:eastAsia="仿宋" w:cs="仿宋"/>
          <w:spacing w:val="0"/>
          <w:w w:val="100"/>
          <w:u w:val="single"/>
        </w:rPr>
        <w:t>项目编号）</w:t>
      </w:r>
      <w:r>
        <w:rPr>
          <w:rFonts w:hint="eastAsia" w:ascii="仿宋" w:hAnsi="仿宋" w:eastAsia="仿宋" w:cs="仿宋"/>
          <w:spacing w:val="0"/>
          <w:w w:val="100"/>
        </w:rPr>
        <w:t>的</w:t>
      </w:r>
      <w:r>
        <w:rPr>
          <w:rFonts w:hint="eastAsia" w:ascii="仿宋" w:hAnsi="仿宋" w:eastAsia="仿宋" w:cs="仿宋"/>
          <w:spacing w:val="0"/>
          <w:w w:val="100"/>
          <w:lang w:val="en-US" w:eastAsia="zh-CN"/>
        </w:rPr>
        <w:t>采购</w:t>
      </w:r>
      <w:r>
        <w:rPr>
          <w:rFonts w:hint="eastAsia" w:ascii="仿宋" w:hAnsi="仿宋" w:eastAsia="仿宋" w:cs="仿宋"/>
          <w:spacing w:val="0"/>
          <w:w w:val="100"/>
        </w:rPr>
        <w:t>公告，本公司（企业）愿意参加谈判，并承诺：根据《财政部关于招标有关问题的通知》（财库[2011]59号）的规定，</w:t>
      </w:r>
      <w:r>
        <w:rPr>
          <w:rFonts w:hint="eastAsia" w:ascii="仿宋" w:hAnsi="仿宋" w:eastAsia="仿宋" w:cs="仿宋"/>
          <w:spacing w:val="0"/>
          <w:w w:val="100"/>
          <w:lang w:val="en-US" w:eastAsia="zh-CN"/>
        </w:rPr>
        <w:t>我单位没有负责人为同一人或者存在直接控股、管理关系的不同供应商，同时参加本采购项目响应</w:t>
      </w:r>
      <w:r>
        <w:rPr>
          <w:rFonts w:hint="eastAsia" w:ascii="仿宋" w:hAnsi="仿宋" w:eastAsia="仿宋" w:cs="仿宋"/>
          <w:spacing w:val="0"/>
          <w:w w:val="100"/>
        </w:rPr>
        <w:t>。</w:t>
      </w:r>
    </w:p>
    <w:p>
      <w:pPr>
        <w:pStyle w:val="2"/>
        <w:spacing w:line="266" w:lineRule="exact"/>
        <w:ind w:left="728"/>
        <w:rPr>
          <w:rFonts w:hint="eastAsia" w:ascii="仿宋" w:hAnsi="仿宋" w:eastAsia="仿宋" w:cs="仿宋"/>
          <w:spacing w:val="0"/>
          <w:w w:val="100"/>
        </w:rPr>
      </w:pPr>
      <w:r>
        <w:rPr>
          <w:rFonts w:hint="eastAsia" w:ascii="仿宋" w:hAnsi="仿宋" w:eastAsia="仿宋" w:cs="仿宋"/>
          <w:spacing w:val="0"/>
          <w:w w:val="100"/>
        </w:rPr>
        <w:t>否则，由此所造成的损失、不良后果及法律责任，一律由我公司（企业）承担。</w:t>
      </w:r>
    </w:p>
    <w:p>
      <w:pPr>
        <w:pStyle w:val="6"/>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1"/>
        <w:rPr>
          <w:rFonts w:hint="eastAsia" w:ascii="仿宋" w:hAnsi="仿宋" w:eastAsia="仿宋" w:cs="仿宋"/>
          <w:color w:val="000000"/>
          <w:spacing w:val="0"/>
          <w:w w:val="100"/>
          <w:highlight w:val="none"/>
          <w:u w:val="none"/>
          <w:lang w:val="en-US" w:eastAsia="zh-CN"/>
        </w:rPr>
      </w:pPr>
    </w:p>
    <w:p>
      <w:pPr>
        <w:pStyle w:val="21"/>
        <w:rPr>
          <w:rFonts w:hint="eastAsia" w:ascii="仿宋" w:hAnsi="仿宋" w:eastAsia="仿宋" w:cs="仿宋"/>
          <w:color w:val="000000"/>
          <w:spacing w:val="0"/>
          <w:w w:val="100"/>
          <w:highlight w:val="none"/>
          <w:u w:val="none"/>
          <w:lang w:val="en-US" w:eastAsia="zh-CN"/>
        </w:rPr>
      </w:pPr>
    </w:p>
    <w:p>
      <w:pPr>
        <w:pStyle w:val="21"/>
        <w:rPr>
          <w:rFonts w:hint="eastAsia" w:ascii="仿宋" w:hAnsi="仿宋" w:eastAsia="仿宋" w:cs="仿宋"/>
          <w:color w:val="000000"/>
          <w:spacing w:val="0"/>
          <w:w w:val="1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rPr>
          <w:rFonts w:hint="eastAsia" w:ascii="仿宋" w:hAnsi="仿宋" w:eastAsia="仿宋" w:cs="仿宋"/>
          <w:b w:val="0"/>
          <w:bCs w:val="0"/>
          <w:highlight w:val="none"/>
        </w:rPr>
      </w:pPr>
    </w:p>
    <w:p>
      <w:pPr>
        <w:rPr>
          <w:rFonts w:hint="eastAsia" w:ascii="仿宋" w:hAnsi="仿宋" w:eastAsia="仿宋" w:cs="仿宋"/>
          <w:b w:val="0"/>
          <w:bCs w:val="0"/>
          <w:highlight w:val="none"/>
        </w:rPr>
      </w:pPr>
      <w:r>
        <w:rPr>
          <w:rFonts w:hint="eastAsia" w:ascii="仿宋" w:hAnsi="仿宋" w:eastAsia="仿宋" w:cs="仿宋"/>
          <w:b w:val="0"/>
          <w:bCs w:val="0"/>
          <w:highlight w:val="none"/>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9</w:t>
      </w:r>
      <w:r>
        <w:rPr>
          <w:rFonts w:hint="eastAsia" w:ascii="仿宋" w:hAnsi="仿宋" w:eastAsia="仿宋" w:cs="仿宋"/>
          <w:spacing w:val="0"/>
          <w:w w:val="100"/>
          <w:highlight w:val="none"/>
        </w:rPr>
        <w:t>：非联合体</w:t>
      </w:r>
      <w:r>
        <w:rPr>
          <w:rFonts w:hint="eastAsia" w:ascii="仿宋" w:hAnsi="仿宋" w:eastAsia="仿宋" w:cs="仿宋"/>
          <w:spacing w:val="0"/>
          <w:w w:val="100"/>
          <w:highlight w:val="none"/>
          <w:lang w:val="en-US" w:eastAsia="zh-CN"/>
        </w:rPr>
        <w:t>响应</w:t>
      </w:r>
      <w:r>
        <w:rPr>
          <w:rFonts w:hint="eastAsia" w:ascii="仿宋" w:hAnsi="仿宋" w:eastAsia="仿宋" w:cs="仿宋"/>
          <w:spacing w:val="0"/>
          <w:w w:val="100"/>
          <w:highlight w:val="none"/>
          <w:lang w:eastAsia="zh-CN"/>
        </w:rPr>
        <w:t>，</w:t>
      </w:r>
      <w:r>
        <w:rPr>
          <w:rFonts w:hint="eastAsia" w:ascii="仿宋" w:hAnsi="仿宋" w:eastAsia="仿宋" w:cs="仿宋"/>
          <w:spacing w:val="0"/>
          <w:w w:val="100"/>
          <w:highlight w:val="none"/>
          <w:lang w:val="en-US" w:eastAsia="zh-CN"/>
        </w:rPr>
        <w:t>不允许分包和转包</w:t>
      </w:r>
      <w:r>
        <w:rPr>
          <w:rFonts w:hint="eastAsia" w:ascii="仿宋" w:hAnsi="仿宋" w:eastAsia="仿宋" w:cs="仿宋"/>
          <w:spacing w:val="0"/>
          <w:w w:val="100"/>
          <w:highlight w:val="none"/>
        </w:rPr>
        <w:t>承诺函</w:t>
      </w:r>
    </w:p>
    <w:p>
      <w:pPr>
        <w:pStyle w:val="2"/>
        <w:rPr>
          <w:rFonts w:hint="eastAsia" w:ascii="仿宋" w:hAnsi="仿宋" w:eastAsia="仿宋" w:cs="仿宋"/>
          <w:b/>
          <w:spacing w:val="0"/>
          <w:w w:val="100"/>
          <w:sz w:val="20"/>
          <w:highlight w:val="none"/>
        </w:rPr>
      </w:pPr>
    </w:p>
    <w:p>
      <w:pPr>
        <w:spacing w:before="234"/>
        <w:ind w:left="72" w:right="18"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承诺函</w:t>
      </w: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spacing w:before="2"/>
        <w:rPr>
          <w:rFonts w:hint="eastAsia" w:ascii="仿宋" w:hAnsi="仿宋" w:eastAsia="仿宋" w:cs="仿宋"/>
          <w:b/>
          <w:spacing w:val="0"/>
          <w:w w:val="100"/>
          <w:sz w:val="22"/>
        </w:rPr>
      </w:pPr>
    </w:p>
    <w:p>
      <w:pPr>
        <w:pStyle w:val="9"/>
        <w:spacing w:before="70"/>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rPr>
          <w:rFonts w:hint="eastAsia" w:ascii="仿宋" w:hAnsi="仿宋" w:eastAsia="仿宋" w:cs="仿宋"/>
          <w:b/>
          <w:spacing w:val="0"/>
          <w:w w:val="100"/>
          <w:sz w:val="20"/>
        </w:rPr>
      </w:pPr>
    </w:p>
    <w:p>
      <w:pPr>
        <w:pStyle w:val="2"/>
        <w:spacing w:before="1"/>
        <w:rPr>
          <w:rFonts w:hint="eastAsia" w:ascii="仿宋" w:hAnsi="仿宋" w:eastAsia="仿宋" w:cs="仿宋"/>
          <w:b/>
          <w:spacing w:val="0"/>
          <w:w w:val="10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w:t>
      </w:r>
      <w:r>
        <w:rPr>
          <w:rFonts w:hint="eastAsia" w:ascii="仿宋" w:hAnsi="仿宋" w:eastAsia="仿宋" w:cs="仿宋"/>
          <w:spacing w:val="0"/>
          <w:w w:val="100"/>
          <w:u w:val="single"/>
        </w:rPr>
        <w:t>（</w:t>
      </w:r>
      <w:r>
        <w:rPr>
          <w:rFonts w:hint="eastAsia" w:ascii="仿宋" w:hAnsi="仿宋" w:eastAsia="仿宋" w:cs="仿宋"/>
          <w:spacing w:val="0"/>
          <w:w w:val="100"/>
          <w:u w:val="single"/>
          <w:lang w:val="en-US" w:eastAsia="zh-CN"/>
        </w:rPr>
        <w:t>响应供应商名称</w:t>
      </w:r>
      <w:r>
        <w:rPr>
          <w:rFonts w:hint="eastAsia" w:ascii="仿宋" w:hAnsi="仿宋" w:eastAsia="仿宋" w:cs="仿宋"/>
          <w:spacing w:val="0"/>
          <w:w w:val="100"/>
          <w:u w:val="single"/>
        </w:rPr>
        <w:t>）</w:t>
      </w:r>
      <w:r>
        <w:rPr>
          <w:rFonts w:hint="eastAsia" w:ascii="仿宋" w:hAnsi="仿宋" w:eastAsia="仿宋" w:cs="仿宋"/>
          <w:spacing w:val="0"/>
          <w:w w:val="100"/>
        </w:rPr>
        <w:t>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u w:val="none"/>
          <w:lang w:val="en-US" w:eastAsia="zh-CN"/>
        </w:rPr>
        <w:t>,项目</w:t>
      </w:r>
      <w:r>
        <w:rPr>
          <w:rFonts w:hint="eastAsia" w:ascii="仿宋" w:hAnsi="仿宋" w:eastAsia="仿宋" w:cs="仿宋"/>
          <w:spacing w:val="0"/>
          <w:w w:val="100"/>
        </w:rPr>
        <w:t>编号：</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）的竞争性谈判会议，非联合体</w:t>
      </w:r>
      <w:r>
        <w:rPr>
          <w:rFonts w:hint="eastAsia" w:ascii="仿宋" w:hAnsi="仿宋" w:eastAsia="仿宋" w:cs="仿宋"/>
          <w:spacing w:val="0"/>
          <w:w w:val="100"/>
          <w:lang w:val="en-US" w:eastAsia="zh-CN"/>
        </w:rPr>
        <w:t>响应</w:t>
      </w:r>
      <w:r>
        <w:rPr>
          <w:rFonts w:hint="eastAsia" w:ascii="仿宋" w:hAnsi="仿宋" w:eastAsia="仿宋" w:cs="仿宋"/>
          <w:spacing w:val="0"/>
          <w:w w:val="100"/>
          <w:lang w:eastAsia="zh-CN"/>
        </w:rPr>
        <w:t>，</w:t>
      </w:r>
      <w:r>
        <w:rPr>
          <w:rFonts w:hint="eastAsia" w:ascii="仿宋" w:hAnsi="仿宋" w:eastAsia="仿宋" w:cs="仿宋"/>
          <w:spacing w:val="0"/>
          <w:w w:val="100"/>
          <w:lang w:val="en-US" w:eastAsia="zh-CN"/>
        </w:rPr>
        <w:t>不对此次采购项目进行分包和转包</w:t>
      </w:r>
      <w:r>
        <w:rPr>
          <w:rFonts w:hint="eastAsia" w:ascii="仿宋" w:hAnsi="仿宋" w:eastAsia="仿宋" w:cs="仿宋"/>
          <w:spacing w:val="0"/>
          <w:w w:val="100"/>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val="0"/>
          <w:bCs w:val="0"/>
          <w:highlight w:val="none"/>
        </w:rPr>
      </w:pPr>
    </w:p>
    <w:p>
      <w:pPr>
        <w:rPr>
          <w:rFonts w:hint="eastAsia" w:ascii="仿宋" w:hAnsi="仿宋" w:eastAsia="仿宋" w:cs="仿宋"/>
          <w:b w:val="0"/>
          <w:bCs w:val="0"/>
          <w:highlight w:val="none"/>
        </w:rPr>
      </w:pPr>
      <w:r>
        <w:rPr>
          <w:rFonts w:hint="eastAsia" w:ascii="仿宋" w:hAnsi="仿宋" w:eastAsia="仿宋" w:cs="仿宋"/>
          <w:b w:val="0"/>
          <w:bCs w:val="0"/>
          <w:highlight w:val="none"/>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10</w:t>
      </w:r>
      <w:r>
        <w:rPr>
          <w:rFonts w:hint="eastAsia" w:ascii="仿宋" w:hAnsi="仿宋" w:eastAsia="仿宋" w:cs="仿宋"/>
          <w:spacing w:val="0"/>
          <w:w w:val="100"/>
          <w:highlight w:val="none"/>
        </w:rPr>
        <w:t>：</w:t>
      </w:r>
      <w:r>
        <w:rPr>
          <w:rFonts w:hint="eastAsia" w:ascii="仿宋" w:hAnsi="仿宋" w:eastAsia="仿宋" w:cs="仿宋"/>
          <w:spacing w:val="0"/>
          <w:w w:val="100"/>
          <w:highlight w:val="none"/>
          <w:lang w:val="en-US" w:eastAsia="zh-CN"/>
        </w:rPr>
        <w:t>本项目为一个整体，响应供应商须对全部内容进行响应，不得分拆</w:t>
      </w:r>
    </w:p>
    <w:p>
      <w:pPr>
        <w:pStyle w:val="2"/>
        <w:rPr>
          <w:rFonts w:hint="eastAsia" w:ascii="仿宋" w:hAnsi="仿宋" w:eastAsia="仿宋" w:cs="仿宋"/>
          <w:b/>
          <w:spacing w:val="0"/>
          <w:w w:val="100"/>
          <w:sz w:val="20"/>
          <w:highlight w:val="none"/>
        </w:rPr>
      </w:pPr>
    </w:p>
    <w:p>
      <w:pPr>
        <w:spacing w:before="234"/>
        <w:ind w:left="72" w:right="18"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承诺函</w:t>
      </w: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spacing w:before="2"/>
        <w:rPr>
          <w:rFonts w:hint="eastAsia" w:ascii="仿宋" w:hAnsi="仿宋" w:eastAsia="仿宋" w:cs="仿宋"/>
          <w:b/>
          <w:spacing w:val="0"/>
          <w:w w:val="100"/>
          <w:sz w:val="22"/>
        </w:rPr>
      </w:pPr>
    </w:p>
    <w:p>
      <w:pPr>
        <w:pStyle w:val="9"/>
        <w:spacing w:before="70"/>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rPr>
          <w:rFonts w:hint="eastAsia" w:ascii="仿宋" w:hAnsi="仿宋" w:eastAsia="仿宋" w:cs="仿宋"/>
          <w:b/>
          <w:spacing w:val="0"/>
          <w:w w:val="100"/>
          <w:sz w:val="20"/>
        </w:rPr>
      </w:pPr>
    </w:p>
    <w:p>
      <w:pPr>
        <w:pStyle w:val="2"/>
        <w:spacing w:before="1"/>
        <w:rPr>
          <w:rFonts w:hint="eastAsia" w:ascii="仿宋" w:hAnsi="仿宋" w:eastAsia="仿宋" w:cs="仿宋"/>
          <w:b/>
          <w:spacing w:val="0"/>
          <w:w w:val="10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黑体" w:hAnsi="黑体" w:eastAsia="黑体" w:cs="宋体"/>
          <w:lang w:val="en-US" w:eastAsia="zh-CN"/>
        </w:rPr>
      </w:pPr>
      <w:r>
        <w:rPr>
          <w:rFonts w:hint="eastAsia" w:ascii="仿宋" w:hAnsi="仿宋" w:eastAsia="仿宋" w:cs="仿宋"/>
          <w:spacing w:val="0"/>
          <w:w w:val="100"/>
        </w:rPr>
        <w:t>我公司</w:t>
      </w:r>
      <w:r>
        <w:rPr>
          <w:rFonts w:hint="eastAsia" w:ascii="仿宋" w:hAnsi="仿宋" w:eastAsia="仿宋" w:cs="仿宋"/>
          <w:spacing w:val="0"/>
          <w:w w:val="100"/>
          <w:u w:val="single"/>
        </w:rPr>
        <w:t>（</w:t>
      </w:r>
      <w:r>
        <w:rPr>
          <w:rFonts w:hint="eastAsia" w:ascii="仿宋" w:hAnsi="仿宋" w:eastAsia="仿宋" w:cs="仿宋"/>
          <w:spacing w:val="0"/>
          <w:w w:val="100"/>
          <w:u w:val="single"/>
          <w:lang w:val="en-US" w:eastAsia="zh-CN"/>
        </w:rPr>
        <w:t>响应供应商名称</w:t>
      </w:r>
      <w:r>
        <w:rPr>
          <w:rFonts w:hint="eastAsia" w:ascii="仿宋" w:hAnsi="仿宋" w:eastAsia="仿宋" w:cs="仿宋"/>
          <w:spacing w:val="0"/>
          <w:w w:val="100"/>
          <w:u w:val="single"/>
        </w:rPr>
        <w:t>）</w:t>
      </w:r>
      <w:r>
        <w:rPr>
          <w:rFonts w:hint="eastAsia" w:ascii="仿宋" w:hAnsi="仿宋" w:eastAsia="仿宋" w:cs="仿宋"/>
          <w:spacing w:val="0"/>
          <w:w w:val="100"/>
        </w:rPr>
        <w:t>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u w:val="none"/>
          <w:lang w:val="en-US" w:eastAsia="zh-CN"/>
        </w:rPr>
        <w:t>,项目</w:t>
      </w:r>
      <w:r>
        <w:rPr>
          <w:rFonts w:hint="eastAsia" w:ascii="仿宋" w:hAnsi="仿宋" w:eastAsia="仿宋" w:cs="仿宋"/>
          <w:spacing w:val="0"/>
          <w:w w:val="100"/>
        </w:rPr>
        <w:t>编号：</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）的竞争性谈判会议，</w:t>
      </w:r>
      <w:r>
        <w:rPr>
          <w:rFonts w:hint="eastAsia" w:ascii="黑体" w:hAnsi="黑体" w:eastAsia="黑体" w:cs="宋体"/>
          <w:lang w:val="en-US" w:eastAsia="zh-CN"/>
        </w:rPr>
        <w:t>把本项目看作一个整体，对全部内容进行响应，不分拆。</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rPr>
      </w:pPr>
    </w:p>
    <w:p>
      <w:pPr>
        <w:rPr>
          <w:rFonts w:hint="eastAsia"/>
        </w:rPr>
      </w:pPr>
      <w:r>
        <w:rPr>
          <w:rFonts w:hint="eastAsia"/>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bCs w:val="0"/>
          <w:spacing w:val="0"/>
          <w:w w:val="100"/>
          <w:sz w:val="28"/>
          <w:szCs w:val="22"/>
          <w:lang w:val="zh-CN" w:eastAsia="zh-CN" w:bidi="zh-CN"/>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11</w:t>
      </w:r>
      <w:r>
        <w:rPr>
          <w:rFonts w:hint="eastAsia" w:ascii="仿宋" w:hAnsi="仿宋" w:eastAsia="仿宋" w:cs="仿宋"/>
          <w:spacing w:val="0"/>
          <w:w w:val="100"/>
          <w:highlight w:val="none"/>
        </w:rPr>
        <w:t>：</w:t>
      </w:r>
      <w:r>
        <w:rPr>
          <w:rFonts w:hint="eastAsia" w:ascii="仿宋" w:hAnsi="仿宋" w:eastAsia="仿宋" w:cs="仿宋"/>
          <w:b/>
          <w:bCs w:val="0"/>
          <w:spacing w:val="0"/>
          <w:w w:val="100"/>
          <w:sz w:val="28"/>
          <w:szCs w:val="22"/>
          <w:lang w:val="en-US" w:eastAsia="zh-CN" w:bidi="zh-CN"/>
        </w:rPr>
        <w:t>按规定获取本项目采购文件的</w:t>
      </w:r>
    </w:p>
    <w:p>
      <w:pPr>
        <w:pStyle w:val="2"/>
        <w:rPr>
          <w:rFonts w:hint="eastAsia" w:ascii="仿宋" w:hAnsi="仿宋" w:eastAsia="仿宋" w:cs="仿宋"/>
          <w:b/>
          <w:spacing w:val="0"/>
          <w:w w:val="100"/>
          <w:sz w:val="20"/>
          <w:highlight w:val="none"/>
        </w:rPr>
      </w:pPr>
    </w:p>
    <w:p>
      <w:pPr>
        <w:spacing w:before="234"/>
        <w:ind w:left="72" w:right="18"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承诺函</w:t>
      </w: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spacing w:before="2"/>
        <w:rPr>
          <w:rFonts w:hint="eastAsia" w:ascii="仿宋" w:hAnsi="仿宋" w:eastAsia="仿宋" w:cs="仿宋"/>
          <w:b/>
          <w:spacing w:val="0"/>
          <w:w w:val="100"/>
          <w:sz w:val="22"/>
        </w:rPr>
      </w:pPr>
    </w:p>
    <w:p>
      <w:pPr>
        <w:pStyle w:val="9"/>
        <w:spacing w:before="70"/>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rPr>
          <w:rFonts w:hint="eastAsia" w:ascii="仿宋" w:hAnsi="仿宋" w:eastAsia="仿宋" w:cs="仿宋"/>
          <w:b/>
          <w:spacing w:val="0"/>
          <w:w w:val="100"/>
          <w:sz w:val="20"/>
        </w:rPr>
      </w:pPr>
    </w:p>
    <w:p>
      <w:pPr>
        <w:pStyle w:val="2"/>
        <w:spacing w:before="1"/>
        <w:rPr>
          <w:rFonts w:hint="eastAsia" w:ascii="仿宋" w:hAnsi="仿宋" w:eastAsia="仿宋" w:cs="仿宋"/>
          <w:b/>
          <w:spacing w:val="0"/>
          <w:w w:val="10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黑体" w:hAnsi="黑体" w:eastAsia="黑体" w:cs="宋体"/>
          <w:lang w:val="en-US" w:eastAsia="zh-CN"/>
        </w:rPr>
      </w:pPr>
      <w:r>
        <w:rPr>
          <w:rFonts w:hint="eastAsia" w:ascii="仿宋" w:hAnsi="仿宋" w:eastAsia="仿宋" w:cs="仿宋"/>
          <w:spacing w:val="0"/>
          <w:w w:val="100"/>
        </w:rPr>
        <w:t>我公司</w:t>
      </w:r>
      <w:r>
        <w:rPr>
          <w:rFonts w:hint="eastAsia" w:ascii="仿宋" w:hAnsi="仿宋" w:eastAsia="仿宋" w:cs="仿宋"/>
          <w:spacing w:val="0"/>
          <w:w w:val="100"/>
          <w:u w:val="single"/>
        </w:rPr>
        <w:t>（</w:t>
      </w:r>
      <w:r>
        <w:rPr>
          <w:rFonts w:hint="eastAsia" w:ascii="仿宋" w:hAnsi="仿宋" w:eastAsia="仿宋" w:cs="仿宋"/>
          <w:spacing w:val="0"/>
          <w:w w:val="100"/>
          <w:u w:val="single"/>
          <w:lang w:val="en-US" w:eastAsia="zh-CN"/>
        </w:rPr>
        <w:t>响应供应商名称</w:t>
      </w:r>
      <w:r>
        <w:rPr>
          <w:rFonts w:hint="eastAsia" w:ascii="仿宋" w:hAnsi="仿宋" w:eastAsia="仿宋" w:cs="仿宋"/>
          <w:spacing w:val="0"/>
          <w:w w:val="100"/>
          <w:u w:val="single"/>
        </w:rPr>
        <w:t>）</w:t>
      </w:r>
      <w:r>
        <w:rPr>
          <w:rFonts w:hint="eastAsia" w:ascii="仿宋" w:hAnsi="仿宋" w:eastAsia="仿宋" w:cs="仿宋"/>
          <w:spacing w:val="0"/>
          <w:w w:val="100"/>
        </w:rPr>
        <w:t>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u w:val="none"/>
          <w:lang w:val="en-US" w:eastAsia="zh-CN"/>
        </w:rPr>
        <w:t>,项目</w:t>
      </w:r>
      <w:r>
        <w:rPr>
          <w:rFonts w:hint="eastAsia" w:ascii="仿宋" w:hAnsi="仿宋" w:eastAsia="仿宋" w:cs="仿宋"/>
          <w:spacing w:val="0"/>
          <w:w w:val="100"/>
        </w:rPr>
        <w:t>编号：</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）的竞争性谈判会议，</w:t>
      </w:r>
      <w:r>
        <w:rPr>
          <w:rFonts w:hint="eastAsia" w:ascii="黑体" w:hAnsi="黑体" w:eastAsia="黑体" w:cs="宋体"/>
          <w:lang w:val="en-US" w:eastAsia="zh-CN"/>
        </w:rPr>
        <w:t>是按规定获取本项目采购文件的。</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rPr>
      </w:pPr>
    </w:p>
    <w:p>
      <w:pPr>
        <w:rPr>
          <w:rFonts w:hint="eastAsia"/>
        </w:rPr>
      </w:pPr>
      <w:r>
        <w:rPr>
          <w:rFonts w:hint="eastAsia"/>
        </w:rPr>
        <w:br w:type="page"/>
      </w: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rPr>
          <w:rFonts w:hint="eastAsia" w:ascii="仿宋" w:hAnsi="仿宋" w:eastAsia="仿宋" w:cs="仿宋"/>
          <w:spacing w:val="0"/>
          <w:w w:val="100"/>
        </w:rPr>
      </w:pPr>
      <w:r>
        <w:rPr>
          <w:rFonts w:hint="eastAsia" w:ascii="仿宋" w:hAnsi="仿宋" w:eastAsia="仿宋" w:cs="仿宋"/>
          <w:spacing w:val="0"/>
          <w:w w:val="100"/>
        </w:rPr>
        <w:t xml:space="preserve">附 </w:t>
      </w:r>
      <w:r>
        <w:rPr>
          <w:rFonts w:hint="eastAsia" w:ascii="仿宋" w:hAnsi="仿宋" w:eastAsia="仿宋" w:cs="仿宋"/>
          <w:spacing w:val="0"/>
          <w:w w:val="100"/>
          <w:lang w:val="en-US" w:eastAsia="zh-CN"/>
        </w:rPr>
        <w:t>12</w:t>
      </w:r>
      <w:r>
        <w:rPr>
          <w:rFonts w:hint="eastAsia" w:ascii="仿宋" w:hAnsi="仿宋" w:eastAsia="仿宋" w:cs="仿宋"/>
          <w:spacing w:val="0"/>
          <w:w w:val="100"/>
        </w:rPr>
        <w:t>：政策适用性说明文件（如有）</w:t>
      </w:r>
    </w:p>
    <w:p>
      <w:pPr>
        <w:pStyle w:val="2"/>
        <w:spacing w:before="3"/>
        <w:rPr>
          <w:rFonts w:hint="eastAsia" w:ascii="仿宋" w:hAnsi="仿宋" w:eastAsia="仿宋" w:cs="仿宋"/>
          <w:b/>
          <w:spacing w:val="0"/>
          <w:w w:val="100"/>
        </w:rPr>
      </w:pPr>
    </w:p>
    <w:p>
      <w:pPr>
        <w:spacing w:before="0"/>
        <w:ind w:left="0" w:right="116"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（一）中小企业声明函</w:t>
      </w:r>
    </w:p>
    <w:p>
      <w:pPr>
        <w:pStyle w:val="14"/>
        <w:rPr>
          <w:rFonts w:hint="eastAsia"/>
          <w:spacing w:val="0"/>
          <w:w w:val="100"/>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spacing w:val="0"/>
          <w:w w:val="100"/>
          <w:kern w:val="0"/>
          <w:sz w:val="21"/>
          <w:szCs w:val="21"/>
          <w:u w:val="single"/>
          <w:lang w:val="en-US" w:eastAsia="zh-CN" w:bidi="ar"/>
        </w:rPr>
        <w:t>（新兴县中医院）</w:t>
      </w:r>
      <w:r>
        <w:rPr>
          <w:rFonts w:hint="eastAsia" w:ascii="仿宋" w:hAnsi="仿宋" w:eastAsia="仿宋" w:cs="仿宋"/>
          <w:color w:val="000000"/>
          <w:spacing w:val="0"/>
          <w:w w:val="100"/>
          <w:kern w:val="0"/>
          <w:sz w:val="21"/>
          <w:szCs w:val="21"/>
          <w:lang w:val="en-US" w:eastAsia="zh-CN" w:bidi="ar"/>
        </w:rPr>
        <w:t>的</w:t>
      </w:r>
      <w:r>
        <w:rPr>
          <w:rFonts w:hint="eastAsia" w:ascii="仿宋" w:hAnsi="仿宋" w:eastAsia="仿宋" w:cs="仿宋"/>
          <w:i/>
          <w:iCs/>
          <w:color w:val="000000"/>
          <w:spacing w:val="0"/>
          <w:w w:val="100"/>
          <w:kern w:val="0"/>
          <w:sz w:val="21"/>
          <w:szCs w:val="21"/>
          <w:u w:val="single"/>
          <w:lang w:val="en-US" w:eastAsia="zh-CN" w:bidi="ar"/>
        </w:rPr>
        <w:t>（新兴县中医院药事管理系统采购项目）</w:t>
      </w:r>
      <w:r>
        <w:rPr>
          <w:rFonts w:hint="eastAsia" w:ascii="仿宋" w:hAnsi="仿宋" w:eastAsia="仿宋" w:cs="仿宋"/>
          <w:color w:val="000000"/>
          <w:spacing w:val="0"/>
          <w:w w:val="100"/>
          <w:kern w:val="0"/>
          <w:sz w:val="21"/>
          <w:szCs w:val="21"/>
          <w:lang w:val="en-US" w:eastAsia="zh-CN" w:bidi="ar"/>
        </w:rPr>
        <w:t>采购活动，项目的服务单位全部为符合政策要求的中小企业（或者：服务全部由符合政策要求的中小企业承接）。相关企业（含联合体中的中小企业、签订分包意向协议的中小企业）的具体情况如下：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1.</w:t>
      </w:r>
      <w:r>
        <w:rPr>
          <w:rFonts w:hint="eastAsia" w:ascii="仿宋" w:hAnsi="仿宋" w:eastAsia="仿宋" w:cs="仿宋"/>
          <w:i/>
          <w:iCs/>
          <w:color w:val="000000"/>
          <w:spacing w:val="0"/>
          <w:w w:val="100"/>
          <w:kern w:val="0"/>
          <w:sz w:val="21"/>
          <w:szCs w:val="21"/>
          <w:u w:val="single"/>
          <w:lang w:val="en-US" w:eastAsia="zh-CN" w:bidi="ar"/>
        </w:rPr>
        <w:t>（新兴县中医院药事管理系统采购项目）</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（软件和信息技术服务业）</w:t>
      </w:r>
      <w:r>
        <w:rPr>
          <w:rFonts w:hint="eastAsia" w:ascii="仿宋" w:hAnsi="仿宋" w:eastAsia="仿宋" w:cs="仿宋"/>
          <w:color w:val="000000"/>
          <w:spacing w:val="0"/>
          <w:w w:val="100"/>
          <w:kern w:val="0"/>
          <w:sz w:val="21"/>
          <w:szCs w:val="21"/>
          <w:lang w:val="en-US" w:eastAsia="zh-CN" w:bidi="ar"/>
        </w:rPr>
        <w:t>；承建（承接）企业为</w:t>
      </w:r>
      <w:r>
        <w:rPr>
          <w:rFonts w:hint="eastAsia" w:ascii="仿宋" w:hAnsi="仿宋" w:eastAsia="仿宋" w:cs="仿宋"/>
          <w:i/>
          <w:iCs/>
          <w:color w:val="000000"/>
          <w:spacing w:val="0"/>
          <w:w w:val="100"/>
          <w:kern w:val="0"/>
          <w:sz w:val="21"/>
          <w:szCs w:val="21"/>
          <w:u w:val="single"/>
          <w:lang w:val="en-US" w:eastAsia="zh-CN" w:bidi="ar"/>
        </w:rPr>
        <w:t>（企业名称）</w:t>
      </w:r>
      <w:r>
        <w:rPr>
          <w:rFonts w:hint="eastAsia" w:ascii="仿宋" w:hAnsi="仿宋" w:eastAsia="仿宋" w:cs="仿宋"/>
          <w:color w:val="000000"/>
          <w:spacing w:val="0"/>
          <w:w w:val="100"/>
          <w:kern w:val="0"/>
          <w:sz w:val="21"/>
          <w:szCs w:val="21"/>
          <w:lang w:val="en-US" w:eastAsia="zh-CN" w:bidi="ar"/>
        </w:rPr>
        <w:t>，从业人员</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人，营业收入为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万元，资产总额为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w:t>
      </w:r>
      <w:r>
        <w:rPr>
          <w:rFonts w:hint="eastAsia" w:ascii="微软雅黑" w:hAnsi="微软雅黑" w:eastAsia="微软雅黑" w:cs="微软雅黑"/>
          <w:color w:val="000000"/>
          <w:spacing w:val="0"/>
          <w:w w:val="100"/>
          <w:kern w:val="0"/>
          <w:sz w:val="21"/>
          <w:szCs w:val="21"/>
          <w:lang w:val="en-US" w:eastAsia="zh-CN" w:bidi="ar"/>
        </w:rPr>
        <w:t>¹</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（中型企业、小型企业、微型企业）</w:t>
      </w:r>
      <w:r>
        <w:rPr>
          <w:rFonts w:hint="eastAsia" w:ascii="仿宋" w:hAnsi="仿宋" w:eastAsia="仿宋" w:cs="仿宋"/>
          <w:color w:val="000000"/>
          <w:spacing w:val="0"/>
          <w:w w:val="1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2.</w:t>
      </w:r>
      <w:r>
        <w:rPr>
          <w:rFonts w:hint="eastAsia" w:ascii="仿宋" w:hAnsi="仿宋" w:eastAsia="仿宋" w:cs="仿宋"/>
          <w:i/>
          <w:iCs/>
          <w:color w:val="000000"/>
          <w:spacing w:val="0"/>
          <w:w w:val="100"/>
          <w:kern w:val="0"/>
          <w:sz w:val="21"/>
          <w:szCs w:val="21"/>
          <w:u w:val="single"/>
          <w:lang w:val="en-US" w:eastAsia="zh-CN" w:bidi="ar"/>
        </w:rPr>
        <w:t>（标的名称）</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（采购文件中明确的所属行业）</w:t>
      </w:r>
      <w:r>
        <w:rPr>
          <w:rFonts w:hint="eastAsia" w:ascii="仿宋" w:hAnsi="仿宋" w:eastAsia="仿宋" w:cs="仿宋"/>
          <w:color w:val="000000"/>
          <w:spacing w:val="0"/>
          <w:w w:val="100"/>
          <w:kern w:val="0"/>
          <w:sz w:val="21"/>
          <w:szCs w:val="21"/>
          <w:lang w:val="en-US" w:eastAsia="zh-CN" w:bidi="ar"/>
        </w:rPr>
        <w:t>；承建（承接）企业为</w:t>
      </w:r>
      <w:r>
        <w:rPr>
          <w:rFonts w:hint="eastAsia" w:ascii="仿宋" w:hAnsi="仿宋" w:eastAsia="仿宋" w:cs="仿宋"/>
          <w:i/>
          <w:iCs/>
          <w:color w:val="000000"/>
          <w:spacing w:val="0"/>
          <w:w w:val="100"/>
          <w:kern w:val="0"/>
          <w:sz w:val="21"/>
          <w:szCs w:val="21"/>
          <w:u w:val="single"/>
          <w:lang w:val="en-US" w:eastAsia="zh-CN" w:bidi="ar"/>
        </w:rPr>
        <w:t>（企业名称）</w:t>
      </w:r>
      <w:r>
        <w:rPr>
          <w:rFonts w:hint="eastAsia" w:ascii="仿宋" w:hAnsi="仿宋" w:eastAsia="仿宋" w:cs="仿宋"/>
          <w:color w:val="000000"/>
          <w:spacing w:val="0"/>
          <w:w w:val="100"/>
          <w:kern w:val="0"/>
          <w:sz w:val="21"/>
          <w:szCs w:val="21"/>
          <w:lang w:val="en-US" w:eastAsia="zh-CN" w:bidi="ar"/>
        </w:rPr>
        <w:t>，从业人员</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人，营业收入为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万元，资产总额为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万元，属于</w:t>
      </w:r>
      <w:r>
        <w:rPr>
          <w:rFonts w:hint="eastAsia" w:ascii="仿宋" w:hAnsi="仿宋" w:eastAsia="仿宋" w:cs="仿宋"/>
          <w:i/>
          <w:iCs/>
          <w:color w:val="000000"/>
          <w:spacing w:val="0"/>
          <w:w w:val="100"/>
          <w:kern w:val="0"/>
          <w:sz w:val="21"/>
          <w:szCs w:val="21"/>
          <w:u w:val="single"/>
          <w:lang w:val="en-US" w:eastAsia="zh-CN" w:bidi="ar"/>
        </w:rPr>
        <w:t>（中型企业、小型企业、微型企业）</w:t>
      </w:r>
      <w:r>
        <w:rPr>
          <w:rFonts w:hint="eastAsia" w:ascii="仿宋" w:hAnsi="仿宋" w:eastAsia="仿宋" w:cs="仿宋"/>
          <w:color w:val="000000"/>
          <w:spacing w:val="0"/>
          <w:w w:val="1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以上企业，不属于大企业的分支机构，不存在控股股东为大企业的情形，也不存在与大企业的负责人为同一人的情形。</w:t>
      </w:r>
    </w:p>
    <w:p>
      <w:pPr>
        <w:pStyle w:val="2"/>
        <w:spacing w:before="7" w:line="360" w:lineRule="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 xml:space="preserve">本企业对上述声明内容的真实性负责。如有虚假，将依法承担相应责任。 </w:t>
      </w:r>
    </w:p>
    <w:p>
      <w:pPr>
        <w:pStyle w:val="2"/>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注：1、本声明函对中小企业参与政府采购活动时适用。</w:t>
      </w:r>
    </w:p>
    <w:p>
      <w:pPr>
        <w:pStyle w:val="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pacing w:val="0"/>
          <w:w w:val="100"/>
          <w:sz w:val="15"/>
        </w:rPr>
      </w:pPr>
    </w:p>
    <w:p>
      <w:pPr>
        <w:pStyle w:val="2"/>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spacing w:val="0"/>
          <w:w w:val="100"/>
        </w:rPr>
      </w:pPr>
      <w:r>
        <w:rPr>
          <w:rFonts w:hint="eastAsia" w:ascii="仿宋" w:hAnsi="仿宋" w:eastAsia="仿宋" w:cs="仿宋"/>
          <w:spacing w:val="0"/>
          <w:w w:val="100"/>
          <w:lang w:val="en-US" w:eastAsia="zh-CN"/>
        </w:rPr>
        <w:t>2</w:t>
      </w:r>
      <w:r>
        <w:rPr>
          <w:rFonts w:hint="eastAsia" w:ascii="仿宋" w:hAnsi="仿宋" w:eastAsia="仿宋" w:cs="仿宋"/>
          <w:spacing w:val="0"/>
          <w:w w:val="100"/>
        </w:rPr>
        <w:t>、响应供应商若不提供《中小企业声明函》及其相关证明资料或不按要求填写的，则视响应供应商放弃谈判文件规定的价格扣除。</w:t>
      </w:r>
    </w:p>
    <w:p>
      <w:pPr>
        <w:pStyle w:val="2"/>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spacing w:val="0"/>
          <w:w w:val="100"/>
        </w:rPr>
      </w:pPr>
      <w:r>
        <w:rPr>
          <w:rFonts w:hint="eastAsia" w:ascii="仿宋" w:hAnsi="仿宋" w:eastAsia="仿宋" w:cs="仿宋"/>
          <w:spacing w:val="0"/>
          <w:w w:val="100"/>
          <w:lang w:val="en-US" w:eastAsia="zh-CN"/>
        </w:rPr>
        <w:t>3</w:t>
      </w:r>
      <w:r>
        <w:rPr>
          <w:rFonts w:hint="eastAsia" w:ascii="仿宋" w:hAnsi="仿宋" w:eastAsia="仿宋" w:cs="仿宋"/>
          <w:spacing w:val="0"/>
          <w:w w:val="100"/>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spacing w:val="0"/>
          <w:w w:val="1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pacing w:val="0"/>
          <w:w w:val="100"/>
          <w:sz w:val="24"/>
          <w:szCs w:val="24"/>
        </w:rPr>
      </w:pPr>
      <w:r>
        <w:rPr>
          <w:rFonts w:hint="eastAsia" w:ascii="仿宋" w:hAnsi="仿宋" w:eastAsia="仿宋" w:cs="仿宋"/>
          <w:color w:val="000000"/>
          <w:spacing w:val="0"/>
          <w:w w:val="1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pacing w:val="0"/>
          <w:w w:val="100"/>
          <w:sz w:val="24"/>
          <w:szCs w:val="24"/>
        </w:rPr>
      </w:pPr>
      <w:r>
        <w:rPr>
          <w:rFonts w:hint="eastAsia" w:ascii="仿宋" w:hAnsi="仿宋" w:eastAsia="仿宋" w:cs="仿宋"/>
          <w:color w:val="000000"/>
          <w:spacing w:val="0"/>
          <w:w w:val="100"/>
          <w:kern w:val="0"/>
          <w:sz w:val="24"/>
          <w:szCs w:val="24"/>
          <w:lang w:val="en-US" w:eastAsia="zh-CN" w:bidi="ar"/>
        </w:rPr>
        <w:t xml:space="preserve">日 期： </w:t>
      </w:r>
    </w:p>
    <w:p>
      <w:pPr>
        <w:rPr>
          <w:rFonts w:hint="eastAsia" w:ascii="仿宋" w:hAnsi="仿宋" w:eastAsia="仿宋" w:cs="仿宋"/>
          <w:highlight w:val="none"/>
        </w:rPr>
      </w:pPr>
      <w:r>
        <w:rPr>
          <w:rFonts w:hint="eastAsia" w:ascii="仿宋" w:hAnsi="仿宋" w:eastAsia="仿宋" w:cs="仿宋"/>
          <w:highlight w:val="none"/>
        </w:rPr>
        <w:br w:type="page"/>
      </w:r>
    </w:p>
    <w:p>
      <w:pPr>
        <w:spacing w:before="38"/>
        <w:ind w:right="1285"/>
        <w:jc w:val="center"/>
        <w:rPr>
          <w:rFonts w:hint="eastAsia" w:ascii="仿宋" w:hAnsi="仿宋" w:eastAsia="仿宋" w:cs="仿宋"/>
          <w:color w:val="000000"/>
          <w:spacing w:val="0"/>
          <w:w w:val="100"/>
          <w:sz w:val="28"/>
          <w:highlight w:val="none"/>
        </w:rPr>
      </w:pPr>
      <w:r>
        <w:rPr>
          <w:rFonts w:hint="eastAsia" w:ascii="仿宋" w:hAnsi="仿宋" w:eastAsia="仿宋" w:cs="仿宋"/>
          <w:b/>
          <w:bCs/>
          <w:color w:val="000000"/>
          <w:spacing w:val="0"/>
          <w:w w:val="100"/>
          <w:sz w:val="32"/>
          <w:szCs w:val="32"/>
          <w:highlight w:val="none"/>
          <w:lang w:val="zh-CN" w:eastAsia="zh-CN" w:bidi="zh-CN"/>
        </w:rPr>
        <w:t>（</w:t>
      </w:r>
      <w:r>
        <w:rPr>
          <w:rFonts w:hint="eastAsia" w:ascii="仿宋" w:hAnsi="仿宋" w:eastAsia="仿宋" w:cs="仿宋"/>
          <w:b/>
          <w:bCs/>
          <w:color w:val="000000"/>
          <w:spacing w:val="0"/>
          <w:w w:val="100"/>
          <w:sz w:val="32"/>
          <w:szCs w:val="32"/>
          <w:highlight w:val="none"/>
          <w:lang w:val="en-US" w:eastAsia="zh-CN" w:bidi="zh-CN"/>
        </w:rPr>
        <w:t>二</w:t>
      </w:r>
      <w:r>
        <w:rPr>
          <w:rFonts w:hint="eastAsia" w:ascii="仿宋" w:hAnsi="仿宋" w:eastAsia="仿宋" w:cs="仿宋"/>
          <w:b/>
          <w:bCs/>
          <w:color w:val="000000"/>
          <w:spacing w:val="0"/>
          <w:w w:val="100"/>
          <w:sz w:val="32"/>
          <w:szCs w:val="32"/>
          <w:highlight w:val="none"/>
          <w:lang w:val="zh-CN" w:eastAsia="zh-CN" w:bidi="zh-CN"/>
        </w:rPr>
        <w:t>）监狱企业的证明文件</w:t>
      </w:r>
    </w:p>
    <w:p>
      <w:pPr>
        <w:pStyle w:val="2"/>
        <w:spacing w:before="1"/>
        <w:rPr>
          <w:rFonts w:hint="eastAsia" w:ascii="仿宋" w:hAnsi="仿宋" w:eastAsia="仿宋" w:cs="仿宋"/>
          <w:color w:val="000000"/>
          <w:spacing w:val="0"/>
          <w:w w:val="100"/>
          <w:sz w:val="35"/>
          <w:highlight w:val="none"/>
        </w:rPr>
      </w:pPr>
    </w:p>
    <w:p>
      <w:pPr>
        <w:spacing w:before="0" w:line="360" w:lineRule="auto"/>
        <w:ind w:left="448" w:right="477" w:firstLine="444"/>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说明：监狱企业参加政府采购活动时，应当提供由省级以上监狱管理局、戒毒管理局（含新疆生产建设兵团）出具的属于监狱企业的证明文件。</w:t>
      </w:r>
    </w:p>
    <w:p>
      <w:pPr>
        <w:pStyle w:val="2"/>
        <w:rPr>
          <w:rFonts w:hint="eastAsia" w:ascii="仿宋" w:hAnsi="仿宋" w:eastAsia="仿宋" w:cs="仿宋"/>
          <w:color w:val="000000"/>
          <w:spacing w:val="0"/>
          <w:w w:val="100"/>
          <w:sz w:val="21"/>
          <w:szCs w:val="21"/>
          <w:highlight w:val="none"/>
        </w:rPr>
      </w:pPr>
    </w:p>
    <w:p>
      <w:pPr>
        <w:pStyle w:val="2"/>
        <w:rPr>
          <w:rFonts w:hint="eastAsia" w:ascii="仿宋" w:hAnsi="仿宋" w:eastAsia="仿宋" w:cs="仿宋"/>
          <w:color w:val="000000"/>
          <w:spacing w:val="0"/>
          <w:w w:val="100"/>
          <w:sz w:val="21"/>
          <w:szCs w:val="21"/>
          <w:highlight w:val="none"/>
        </w:rPr>
      </w:pPr>
    </w:p>
    <w:p>
      <w:pPr>
        <w:spacing w:before="0"/>
        <w:ind w:left="891" w:right="0" w:firstLine="0"/>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注：若</w:t>
      </w:r>
      <w:r>
        <w:rPr>
          <w:rFonts w:hint="eastAsia" w:ascii="仿宋" w:hAnsi="仿宋" w:eastAsia="仿宋" w:cs="仿宋"/>
          <w:color w:val="000000"/>
          <w:spacing w:val="0"/>
          <w:w w:val="100"/>
          <w:sz w:val="21"/>
          <w:szCs w:val="21"/>
          <w:highlight w:val="none"/>
          <w:lang w:val="en-US" w:eastAsia="zh-CN"/>
        </w:rPr>
        <w:t>响应</w:t>
      </w:r>
      <w:r>
        <w:rPr>
          <w:rFonts w:hint="eastAsia" w:ascii="仿宋" w:hAnsi="仿宋" w:eastAsia="仿宋" w:cs="仿宋"/>
          <w:color w:val="000000"/>
          <w:spacing w:val="0"/>
          <w:w w:val="100"/>
          <w:sz w:val="21"/>
          <w:szCs w:val="21"/>
          <w:highlight w:val="none"/>
        </w:rPr>
        <w:t>供应商不是</w:t>
      </w:r>
      <w:r>
        <w:rPr>
          <w:rFonts w:hint="eastAsia" w:ascii="仿宋" w:hAnsi="仿宋" w:eastAsia="仿宋" w:cs="仿宋"/>
          <w:color w:val="000000"/>
          <w:spacing w:val="0"/>
          <w:w w:val="100"/>
          <w:sz w:val="21"/>
          <w:szCs w:val="21"/>
          <w:highlight w:val="none"/>
          <w:lang w:val="zh-CN" w:eastAsia="zh-CN"/>
        </w:rPr>
        <w:t>监狱企业</w:t>
      </w:r>
      <w:r>
        <w:rPr>
          <w:rFonts w:hint="eastAsia" w:ascii="仿宋" w:hAnsi="仿宋" w:eastAsia="仿宋" w:cs="仿宋"/>
          <w:color w:val="000000"/>
          <w:spacing w:val="0"/>
          <w:w w:val="100"/>
          <w:sz w:val="21"/>
          <w:szCs w:val="21"/>
          <w:highlight w:val="none"/>
        </w:rPr>
        <w:t>，可不提供。</w:t>
      </w:r>
    </w:p>
    <w:p>
      <w:pPr>
        <w:pStyle w:val="2"/>
        <w:spacing w:before="5"/>
        <w:rPr>
          <w:rFonts w:hint="eastAsia" w:ascii="仿宋" w:hAnsi="仿宋" w:eastAsia="仿宋" w:cs="仿宋"/>
          <w:color w:val="000000"/>
          <w:spacing w:val="0"/>
          <w:w w:val="100"/>
          <w:sz w:val="21"/>
          <w:szCs w:val="21"/>
          <w:highlight w:val="none"/>
        </w:rPr>
      </w:pPr>
    </w:p>
    <w:p>
      <w:pPr>
        <w:rPr>
          <w:rFonts w:hint="eastAsia"/>
          <w:spacing w:val="0"/>
          <w:w w:val="100"/>
          <w:sz w:val="21"/>
          <w:szCs w:val="21"/>
        </w:rPr>
      </w:pPr>
    </w:p>
    <w:p>
      <w:pPr>
        <w:adjustRightInd w:val="0"/>
        <w:snapToGrid w:val="0"/>
        <w:spacing w:line="480" w:lineRule="auto"/>
        <w:ind w:leftChars="2100"/>
        <w:jc w:val="both"/>
        <w:rPr>
          <w:rFonts w:hint="eastAsia" w:ascii="仿宋" w:hAnsi="仿宋" w:eastAsia="仿宋" w:cs="仿宋"/>
          <w:color w:val="000000"/>
          <w:spacing w:val="0"/>
          <w:w w:val="100"/>
          <w:sz w:val="21"/>
          <w:szCs w:val="21"/>
          <w:highlight w:val="none"/>
          <w:u w:val="single"/>
        </w:rPr>
      </w:pPr>
      <w:r>
        <w:rPr>
          <w:rFonts w:hint="eastAsia" w:ascii="仿宋" w:hAnsi="仿宋" w:eastAsia="仿宋" w:cs="仿宋"/>
          <w:color w:val="000000"/>
          <w:spacing w:val="0"/>
          <w:w w:val="100"/>
          <w:sz w:val="21"/>
          <w:szCs w:val="21"/>
          <w:highlight w:val="none"/>
          <w:lang w:eastAsia="zh-CN"/>
        </w:rPr>
        <w:t>供应商</w:t>
      </w:r>
      <w:r>
        <w:rPr>
          <w:rFonts w:hint="eastAsia" w:ascii="仿宋" w:hAnsi="仿宋" w:eastAsia="仿宋" w:cs="仿宋"/>
          <w:color w:val="000000"/>
          <w:spacing w:val="0"/>
          <w:w w:val="100"/>
          <w:sz w:val="21"/>
          <w:szCs w:val="21"/>
          <w:highlight w:val="none"/>
        </w:rPr>
        <w:t>名称（</w:t>
      </w:r>
      <w:r>
        <w:rPr>
          <w:rFonts w:hint="eastAsia" w:ascii="仿宋" w:hAnsi="仿宋" w:eastAsia="仿宋" w:cs="仿宋"/>
          <w:color w:val="000000"/>
          <w:spacing w:val="0"/>
          <w:w w:val="100"/>
          <w:sz w:val="21"/>
          <w:szCs w:val="21"/>
          <w:highlight w:val="none"/>
          <w:lang w:val="en-US" w:eastAsia="zh-CN"/>
        </w:rPr>
        <w:t>公</w:t>
      </w:r>
      <w:r>
        <w:rPr>
          <w:rFonts w:hint="eastAsia" w:ascii="仿宋" w:hAnsi="仿宋" w:eastAsia="仿宋" w:cs="仿宋"/>
          <w:color w:val="000000"/>
          <w:spacing w:val="0"/>
          <w:w w:val="100"/>
          <w:sz w:val="21"/>
          <w:szCs w:val="21"/>
          <w:highlight w:val="none"/>
          <w:lang w:eastAsia="zh-CN"/>
        </w:rPr>
        <w:t>章</w:t>
      </w:r>
      <w:r>
        <w:rPr>
          <w:rFonts w:hint="eastAsia" w:ascii="仿宋" w:hAnsi="仿宋" w:eastAsia="仿宋" w:cs="仿宋"/>
          <w:color w:val="000000"/>
          <w:spacing w:val="0"/>
          <w:w w:val="1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日期：</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年</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月</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38"/>
        <w:ind w:right="1285"/>
        <w:jc w:val="center"/>
        <w:rPr>
          <w:rFonts w:hint="eastAsia" w:ascii="仿宋" w:hAnsi="仿宋" w:eastAsia="仿宋" w:cs="仿宋"/>
          <w:color w:val="000000"/>
          <w:spacing w:val="0"/>
          <w:w w:val="100"/>
          <w:sz w:val="28"/>
          <w:highlight w:val="none"/>
        </w:rPr>
      </w:pPr>
      <w:bookmarkStart w:id="103" w:name="附 8：政策适用性说明文件（如有）"/>
      <w:bookmarkEnd w:id="103"/>
      <w:r>
        <w:rPr>
          <w:rFonts w:hint="eastAsia" w:ascii="仿宋" w:hAnsi="仿宋" w:eastAsia="仿宋" w:cs="仿宋"/>
          <w:b/>
          <w:bCs/>
          <w:color w:val="000000"/>
          <w:spacing w:val="0"/>
          <w:w w:val="100"/>
          <w:sz w:val="32"/>
          <w:szCs w:val="32"/>
          <w:highlight w:val="none"/>
          <w:lang w:val="zh-CN" w:eastAsia="zh-CN" w:bidi="zh-CN"/>
        </w:rPr>
        <w:t>（</w:t>
      </w:r>
      <w:r>
        <w:rPr>
          <w:rFonts w:hint="eastAsia" w:ascii="仿宋" w:hAnsi="仿宋" w:eastAsia="仿宋" w:cs="仿宋"/>
          <w:b/>
          <w:bCs/>
          <w:color w:val="000000"/>
          <w:spacing w:val="0"/>
          <w:w w:val="100"/>
          <w:sz w:val="32"/>
          <w:szCs w:val="32"/>
          <w:highlight w:val="none"/>
          <w:lang w:val="en-US" w:eastAsia="zh-CN" w:bidi="zh-CN"/>
        </w:rPr>
        <w:t>三</w:t>
      </w:r>
      <w:r>
        <w:rPr>
          <w:rFonts w:hint="eastAsia" w:ascii="仿宋" w:hAnsi="仿宋" w:eastAsia="仿宋" w:cs="仿宋"/>
          <w:b/>
          <w:bCs/>
          <w:color w:val="000000"/>
          <w:spacing w:val="0"/>
          <w:w w:val="100"/>
          <w:sz w:val="32"/>
          <w:szCs w:val="32"/>
          <w:highlight w:val="none"/>
          <w:lang w:val="zh-CN" w:eastAsia="zh-CN" w:bidi="zh-CN"/>
        </w:rPr>
        <w:t>）残疾人福利性单位声明函</w:t>
      </w:r>
    </w:p>
    <w:p>
      <w:pPr>
        <w:pStyle w:val="2"/>
        <w:spacing w:before="1"/>
        <w:rPr>
          <w:rFonts w:hint="eastAsia" w:ascii="仿宋" w:hAnsi="仿宋" w:eastAsia="仿宋" w:cs="仿宋"/>
          <w:color w:val="000000"/>
          <w:spacing w:val="0"/>
          <w:w w:val="1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000000"/>
          <w:spacing w:val="0"/>
          <w:w w:val="100"/>
          <w:sz w:val="21"/>
          <w:szCs w:val="21"/>
          <w:highlight w:val="none"/>
          <w:lang w:val="en-US" w:eastAsia="zh-CN"/>
        </w:rPr>
        <w:t>贵</w:t>
      </w:r>
      <w:r>
        <w:rPr>
          <w:rFonts w:hint="eastAsia" w:ascii="仿宋" w:hAnsi="仿宋" w:eastAsia="仿宋" w:cs="仿宋"/>
          <w:color w:val="000000"/>
          <w:spacing w:val="0"/>
          <w:w w:val="100"/>
          <w:sz w:val="21"/>
          <w:szCs w:val="21"/>
          <w:highlight w:val="none"/>
        </w:rPr>
        <w:t>单位的</w:t>
      </w:r>
      <w:r>
        <w:rPr>
          <w:rFonts w:hint="eastAsia" w:ascii="仿宋" w:hAnsi="仿宋" w:eastAsia="仿宋" w:cs="仿宋"/>
          <w:color w:val="000000"/>
          <w:spacing w:val="0"/>
          <w:w w:val="100"/>
          <w:sz w:val="21"/>
          <w:szCs w:val="21"/>
          <w:highlight w:val="none"/>
          <w:u w:val="single"/>
          <w:lang w:val="en-US" w:eastAsia="zh-CN"/>
        </w:rPr>
        <w:t>（采购项名称）</w:t>
      </w:r>
      <w:r>
        <w:rPr>
          <w:rFonts w:hint="eastAsia" w:ascii="仿宋" w:hAnsi="仿宋" w:eastAsia="仿宋" w:cs="仿宋"/>
          <w:color w:val="000000"/>
          <w:spacing w:val="0"/>
          <w:w w:val="100"/>
          <w:sz w:val="21"/>
          <w:szCs w:val="21"/>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本单位对上述声明的真实性负责。如有虚假，将依法承担相应责任。</w:t>
      </w:r>
    </w:p>
    <w:p>
      <w:pPr>
        <w:pStyle w:val="2"/>
        <w:rPr>
          <w:rFonts w:hint="eastAsia" w:ascii="仿宋" w:hAnsi="仿宋" w:eastAsia="仿宋" w:cs="仿宋"/>
          <w:color w:val="000000"/>
          <w:spacing w:val="0"/>
          <w:w w:val="100"/>
          <w:sz w:val="21"/>
          <w:szCs w:val="21"/>
          <w:highlight w:val="none"/>
        </w:rPr>
      </w:pPr>
    </w:p>
    <w:p>
      <w:pPr>
        <w:pStyle w:val="2"/>
        <w:rPr>
          <w:rFonts w:hint="eastAsia" w:ascii="仿宋" w:hAnsi="仿宋" w:eastAsia="仿宋" w:cs="仿宋"/>
          <w:color w:val="000000"/>
          <w:spacing w:val="0"/>
          <w:w w:val="100"/>
          <w:sz w:val="21"/>
          <w:szCs w:val="21"/>
          <w:highlight w:val="none"/>
        </w:rPr>
      </w:pPr>
    </w:p>
    <w:p>
      <w:pPr>
        <w:pStyle w:val="2"/>
        <w:spacing w:before="1"/>
        <w:rPr>
          <w:rFonts w:hint="eastAsia" w:ascii="仿宋" w:hAnsi="仿宋" w:eastAsia="仿宋" w:cs="仿宋"/>
          <w:color w:val="000000"/>
          <w:spacing w:val="0"/>
          <w:w w:val="100"/>
          <w:sz w:val="21"/>
          <w:szCs w:val="21"/>
          <w:highlight w:val="none"/>
        </w:rPr>
      </w:pPr>
    </w:p>
    <w:p>
      <w:pPr>
        <w:spacing w:before="0"/>
        <w:ind w:left="891" w:right="0" w:firstLine="0"/>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注：若</w:t>
      </w:r>
      <w:r>
        <w:rPr>
          <w:rFonts w:hint="eastAsia" w:ascii="仿宋" w:hAnsi="仿宋" w:eastAsia="仿宋" w:cs="仿宋"/>
          <w:color w:val="000000"/>
          <w:spacing w:val="0"/>
          <w:w w:val="100"/>
          <w:sz w:val="21"/>
          <w:szCs w:val="21"/>
          <w:highlight w:val="none"/>
          <w:lang w:val="en-US" w:eastAsia="zh-CN"/>
        </w:rPr>
        <w:t>响应</w:t>
      </w:r>
      <w:r>
        <w:rPr>
          <w:rFonts w:hint="eastAsia" w:ascii="仿宋" w:hAnsi="仿宋" w:eastAsia="仿宋" w:cs="仿宋"/>
          <w:color w:val="000000"/>
          <w:spacing w:val="0"/>
          <w:w w:val="100"/>
          <w:sz w:val="21"/>
          <w:szCs w:val="21"/>
          <w:highlight w:val="none"/>
        </w:rPr>
        <w:t>供应商不是残疾人福利性单位，可不提供此函。</w:t>
      </w:r>
    </w:p>
    <w:p>
      <w:pPr>
        <w:pStyle w:val="2"/>
        <w:rPr>
          <w:rFonts w:hint="eastAsia" w:ascii="仿宋" w:hAnsi="仿宋" w:eastAsia="仿宋" w:cs="仿宋"/>
          <w:color w:val="000000"/>
          <w:spacing w:val="0"/>
          <w:w w:val="100"/>
          <w:sz w:val="21"/>
          <w:szCs w:val="21"/>
          <w:highlight w:val="none"/>
        </w:rPr>
      </w:pPr>
    </w:p>
    <w:p>
      <w:pPr>
        <w:pStyle w:val="2"/>
        <w:rPr>
          <w:rFonts w:hint="eastAsia" w:ascii="仿宋" w:hAnsi="仿宋" w:eastAsia="仿宋" w:cs="仿宋"/>
          <w:color w:val="000000"/>
          <w:spacing w:val="0"/>
          <w:w w:val="100"/>
          <w:sz w:val="20"/>
          <w:highlight w:val="none"/>
        </w:rPr>
      </w:pPr>
    </w:p>
    <w:p>
      <w:pPr>
        <w:pStyle w:val="2"/>
        <w:tabs>
          <w:tab w:val="left" w:pos="6267"/>
          <w:tab w:val="left" w:pos="9507"/>
        </w:tabs>
        <w:spacing w:line="362" w:lineRule="auto"/>
        <w:ind w:right="816"/>
        <w:rPr>
          <w:rFonts w:hint="eastAsia" w:ascii="仿宋" w:hAnsi="仿宋" w:eastAsia="仿宋" w:cs="仿宋"/>
          <w:color w:val="000000"/>
          <w:spacing w:val="0"/>
          <w:w w:val="1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pacing w:val="0"/>
          <w:w w:val="100"/>
          <w:sz w:val="24"/>
          <w:szCs w:val="24"/>
          <w:highlight w:val="none"/>
        </w:rPr>
      </w:pPr>
      <w:r>
        <w:rPr>
          <w:rFonts w:hint="eastAsia" w:ascii="仿宋" w:hAnsi="仿宋" w:eastAsia="仿宋" w:cs="仿宋"/>
          <w:color w:val="000000"/>
          <w:spacing w:val="0"/>
          <w:w w:val="100"/>
          <w:sz w:val="24"/>
          <w:szCs w:val="24"/>
          <w:highlight w:val="none"/>
          <w:lang w:eastAsia="zh-CN"/>
        </w:rPr>
        <w:t>供应商</w:t>
      </w:r>
      <w:r>
        <w:rPr>
          <w:rFonts w:hint="eastAsia" w:ascii="仿宋" w:hAnsi="仿宋" w:eastAsia="仿宋" w:cs="仿宋"/>
          <w:color w:val="000000"/>
          <w:spacing w:val="0"/>
          <w:w w:val="100"/>
          <w:sz w:val="24"/>
          <w:szCs w:val="24"/>
          <w:highlight w:val="none"/>
        </w:rPr>
        <w:t>名称（</w:t>
      </w:r>
      <w:r>
        <w:rPr>
          <w:rFonts w:hint="eastAsia" w:ascii="仿宋" w:hAnsi="仿宋" w:eastAsia="仿宋" w:cs="仿宋"/>
          <w:color w:val="000000"/>
          <w:spacing w:val="0"/>
          <w:w w:val="100"/>
          <w:sz w:val="24"/>
          <w:szCs w:val="24"/>
          <w:highlight w:val="none"/>
          <w:lang w:eastAsia="zh-CN"/>
        </w:rPr>
        <w:t>盖章</w:t>
      </w:r>
      <w:r>
        <w:rPr>
          <w:rFonts w:hint="eastAsia" w:ascii="仿宋" w:hAnsi="仿宋" w:eastAsia="仿宋" w:cs="仿宋"/>
          <w:color w:val="000000"/>
          <w:spacing w:val="0"/>
          <w:w w:val="1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pacing w:val="0"/>
          <w:w w:val="100"/>
          <w:sz w:val="24"/>
          <w:szCs w:val="24"/>
          <w:highlight w:val="none"/>
        </w:rPr>
      </w:pPr>
      <w:r>
        <w:rPr>
          <w:rFonts w:hint="eastAsia" w:ascii="仿宋" w:hAnsi="仿宋" w:eastAsia="仿宋" w:cs="仿宋"/>
          <w:color w:val="000000"/>
          <w:spacing w:val="0"/>
          <w:w w:val="100"/>
          <w:sz w:val="24"/>
          <w:szCs w:val="24"/>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0"/>
          <w:szCs w:val="20"/>
        </w:rPr>
      </w:pPr>
    </w:p>
    <w:p>
      <w:pPr>
        <w:spacing w:after="0"/>
        <w:rPr>
          <w:rFonts w:hint="eastAsia" w:ascii="仿宋" w:hAnsi="仿宋" w:eastAsia="仿宋" w:cs="仿宋"/>
          <w:sz w:val="21"/>
          <w:szCs w:val="21"/>
        </w:rPr>
      </w:pPr>
    </w:p>
    <w:p>
      <w:pPr>
        <w:pStyle w:val="4"/>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rPr>
      </w:pPr>
    </w:p>
    <w:p>
      <w:pPr>
        <w:pStyle w:val="2"/>
        <w:spacing w:line="480" w:lineRule="auto"/>
        <w:rPr>
          <w:rFonts w:hint="eastAsia" w:ascii="宋体" w:hAnsi="宋体" w:eastAsia="宋体" w:cs="宋体"/>
          <w:b/>
          <w:bCs/>
          <w:spacing w:val="0"/>
          <w:w w:val="100"/>
          <w:sz w:val="36"/>
          <w:szCs w:val="36"/>
          <w:lang w:val="en-US" w:eastAsia="zh-CN" w:bidi="zh-CN"/>
        </w:rPr>
      </w:pPr>
      <w:bookmarkStart w:id="104" w:name="（二）监狱企业的证明文件"/>
      <w:bookmarkEnd w:id="104"/>
      <w:r>
        <w:rPr>
          <w:rFonts w:hint="eastAsia" w:ascii="宋体" w:hAnsi="宋体" w:eastAsia="宋体" w:cs="宋体"/>
          <w:b/>
          <w:bCs/>
          <w:spacing w:val="0"/>
          <w:w w:val="100"/>
          <w:sz w:val="36"/>
          <w:szCs w:val="36"/>
          <w:lang w:val="en-US" w:eastAsia="zh-CN" w:bidi="zh-CN"/>
        </w:rPr>
        <w:t>4、其他资格要求证明文件格式</w:t>
      </w:r>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eastAsia" w:ascii="仿宋" w:hAnsi="仿宋" w:eastAsia="仿宋" w:cs="仿宋"/>
          <w:b/>
          <w:bCs w:val="0"/>
          <w:color w:val="000000"/>
          <w:sz w:val="24"/>
          <w:szCs w:val="22"/>
          <w:highlight w:val="none"/>
          <w:lang w:val="en-US" w:eastAsia="zh-CN"/>
        </w:rPr>
      </w:pPr>
      <w:bookmarkStart w:id="105" w:name="_Hlt10549792"/>
      <w:bookmarkEnd w:id="105"/>
      <w:r>
        <w:rPr>
          <w:rFonts w:hint="eastAsia" w:ascii="仿宋" w:hAnsi="仿宋" w:eastAsia="仿宋" w:cs="仿宋"/>
          <w:b/>
          <w:bCs w:val="0"/>
          <w:color w:val="000000"/>
          <w:sz w:val="24"/>
          <w:szCs w:val="22"/>
          <w:highlight w:val="none"/>
          <w:lang w:val="en-US" w:eastAsia="zh-CN"/>
        </w:rPr>
        <w:t>需提供的资料详见《第一部分 谈判邀请函中“供应商资格要求”》，格式自拟。</w:t>
      </w:r>
    </w:p>
    <w:p>
      <w:pPr>
        <w:pStyle w:val="2"/>
        <w:numPr>
          <w:ilvl w:val="0"/>
          <w:numId w:val="72"/>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spacing w:val="0"/>
          <w:w w:val="100"/>
          <w:sz w:val="21"/>
          <w:szCs w:val="21"/>
          <w:lang w:val="en-US" w:eastAsia="zh-CN"/>
        </w:rPr>
        <w:t>【</w:t>
      </w:r>
      <w:r>
        <w:rPr>
          <w:rFonts w:hint="eastAsia" w:ascii="仿宋" w:hAnsi="仿宋" w:eastAsia="仿宋" w:cs="仿宋"/>
          <w:b w:val="0"/>
          <w:bCs/>
          <w:color w:val="000000"/>
          <w:kern w:val="28"/>
          <w:sz w:val="21"/>
          <w:szCs w:val="20"/>
          <w:highlight w:val="none"/>
          <w:lang w:val="en-US" w:eastAsia="zh-CN" w:bidi="ar-SA"/>
        </w:rPr>
        <w:t>在中华人民共和国境内注册的法人或其他组织，提供有效营业执照（或事业单位法人证书）副本复印件，如非“多证合一</w:t>
      </w:r>
      <w:r>
        <w:rPr>
          <w:rFonts w:hint="default" w:ascii="仿宋" w:hAnsi="仿宋" w:eastAsia="仿宋" w:cs="仿宋"/>
          <w:b w:val="0"/>
          <w:bCs/>
          <w:color w:val="000000"/>
          <w:kern w:val="28"/>
          <w:sz w:val="21"/>
          <w:szCs w:val="20"/>
          <w:highlight w:val="none"/>
          <w:lang w:val="en-US" w:eastAsia="zh-CN" w:bidi="ar-SA"/>
        </w:rPr>
        <w:t>”</w:t>
      </w:r>
      <w:r>
        <w:rPr>
          <w:rFonts w:hint="eastAsia" w:ascii="仿宋" w:hAnsi="仿宋" w:eastAsia="仿宋" w:cs="仿宋"/>
          <w:b w:val="0"/>
          <w:bCs/>
          <w:color w:val="000000"/>
          <w:kern w:val="28"/>
          <w:sz w:val="21"/>
          <w:szCs w:val="20"/>
          <w:highlight w:val="none"/>
          <w:lang w:val="en-US" w:eastAsia="zh-CN" w:bidi="ar-SA"/>
        </w:rPr>
        <w:t>证照的还须同时提供组织机构代码证和税务登记证副本复印件。</w:t>
      </w:r>
      <w:r>
        <w:rPr>
          <w:rFonts w:hint="eastAsia" w:ascii="仿宋" w:hAnsi="仿宋" w:eastAsia="仿宋" w:cs="仿宋"/>
          <w:spacing w:val="0"/>
          <w:w w:val="100"/>
          <w:sz w:val="21"/>
          <w:szCs w:val="21"/>
          <w:lang w:val="en-US" w:eastAsia="zh-CN"/>
        </w:rPr>
        <w:t>】</w:t>
      </w:r>
    </w:p>
    <w:p>
      <w:pPr>
        <w:pStyle w:val="21"/>
        <w:rPr>
          <w:rFonts w:hint="eastAsia"/>
        </w:rPr>
      </w:pPr>
    </w:p>
    <w:p>
      <w:pPr>
        <w:pStyle w:val="21"/>
        <w:rPr>
          <w:rFonts w:hint="eastAsia"/>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bidi w:val="0"/>
        <w:rPr>
          <w:spacing w:val="0"/>
          <w:w w:val="100"/>
        </w:rPr>
      </w:pPr>
      <w:bookmarkStart w:id="106" w:name="（三）残疾人福利性单位声明函"/>
      <w:bookmarkEnd w:id="106"/>
      <w:bookmarkStart w:id="107" w:name="_Toc832"/>
      <w:r>
        <w:rPr>
          <w:rFonts w:hint="eastAsia" w:ascii="宋体" w:hAnsi="宋体" w:eastAsia="宋体" w:cs="宋体"/>
          <w:b/>
          <w:bCs/>
          <w:spacing w:val="0"/>
          <w:w w:val="100"/>
          <w:sz w:val="36"/>
          <w:szCs w:val="36"/>
          <w:lang w:val="en-US" w:eastAsia="zh-CN" w:bidi="zh-CN"/>
        </w:rPr>
        <w:t>5、服务费承诺书格式</w:t>
      </w:r>
      <w:bookmarkEnd w:id="107"/>
    </w:p>
    <w:p>
      <w:pPr>
        <w:bidi w:val="0"/>
        <w:jc w:val="center"/>
        <w:rPr>
          <w:rFonts w:hint="eastAsia"/>
          <w:spacing w:val="0"/>
          <w:w w:val="100"/>
          <w:lang w:val="en-US" w:eastAsia="zh-CN"/>
        </w:rPr>
      </w:pPr>
    </w:p>
    <w:p>
      <w:pPr>
        <w:bidi w:val="0"/>
        <w:jc w:val="center"/>
        <w:rPr>
          <w:rFonts w:hint="eastAsia"/>
          <w:spacing w:val="0"/>
          <w:w w:val="100"/>
          <w:lang w:val="en-US" w:eastAsia="zh-CN"/>
        </w:rPr>
      </w:pPr>
    </w:p>
    <w:p>
      <w:pPr>
        <w:bidi w:val="0"/>
        <w:jc w:val="center"/>
        <w:rPr>
          <w:rFonts w:hint="eastAsia"/>
          <w:spacing w:val="0"/>
          <w:w w:val="100"/>
          <w:lang w:val="en-US" w:eastAsia="zh-CN"/>
        </w:rPr>
      </w:pPr>
    </w:p>
    <w:p>
      <w:pPr>
        <w:bidi w:val="0"/>
        <w:jc w:val="center"/>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成交</w:t>
      </w:r>
      <w:r>
        <w:rPr>
          <w:rFonts w:hint="eastAsia" w:ascii="仿宋" w:hAnsi="仿宋" w:eastAsia="仿宋" w:cs="仿宋"/>
          <w:spacing w:val="0"/>
          <w:w w:val="100"/>
          <w:sz w:val="32"/>
          <w:szCs w:val="32"/>
        </w:rPr>
        <w:t>服务费承诺书</w:t>
      </w:r>
    </w:p>
    <w:p>
      <w:pPr>
        <w:pStyle w:val="2"/>
        <w:rPr>
          <w:rFonts w:hint="eastAsia" w:ascii="仿宋" w:hAnsi="仿宋" w:eastAsia="仿宋" w:cs="仿宋"/>
          <w:b/>
          <w:spacing w:val="0"/>
          <w:w w:val="100"/>
          <w:sz w:val="32"/>
        </w:rPr>
      </w:pPr>
    </w:p>
    <w:p>
      <w:pPr>
        <w:pStyle w:val="2"/>
        <w:spacing w:before="1"/>
        <w:rPr>
          <w:rFonts w:hint="eastAsia" w:ascii="仿宋" w:hAnsi="仿宋" w:eastAsia="仿宋" w:cs="仿宋"/>
          <w:b/>
          <w:spacing w:val="0"/>
          <w:w w:val="100"/>
          <w:sz w:val="33"/>
        </w:rPr>
      </w:pPr>
    </w:p>
    <w:p>
      <w:pPr>
        <w:pStyle w:val="8"/>
        <w:ind w:left="448"/>
        <w:rPr>
          <w:rFonts w:hint="eastAsia" w:ascii="仿宋" w:hAnsi="仿宋" w:eastAsia="仿宋" w:cs="仿宋"/>
          <w:spacing w:val="0"/>
          <w:w w:val="100"/>
          <w:sz w:val="21"/>
          <w:szCs w:val="21"/>
        </w:rPr>
      </w:pPr>
      <w:r>
        <w:rPr>
          <w:rFonts w:hint="eastAsia" w:ascii="仿宋" w:hAnsi="仿宋" w:eastAsia="仿宋" w:cs="仿宋"/>
          <w:b w:val="0"/>
          <w:spacing w:val="0"/>
          <w:w w:val="100"/>
          <w:sz w:val="21"/>
          <w:szCs w:val="21"/>
          <w:lang w:val="zh-CN" w:eastAsia="zh-CN"/>
        </w:rPr>
        <w:t>致：</w:t>
      </w:r>
      <w:r>
        <w:rPr>
          <w:rFonts w:hint="eastAsia" w:ascii="仿宋" w:hAnsi="仿宋" w:eastAsia="仿宋" w:cs="仿宋"/>
          <w:b w:val="0"/>
          <w:spacing w:val="0"/>
          <w:w w:val="100"/>
          <w:sz w:val="21"/>
          <w:szCs w:val="21"/>
          <w:lang w:val="en-US" w:eastAsia="zh-CN"/>
        </w:rPr>
        <w:t>广东至臻项目管理有限公司</w:t>
      </w:r>
    </w:p>
    <w:p>
      <w:pPr>
        <w:pStyle w:val="2"/>
        <w:rPr>
          <w:rFonts w:hint="eastAsia" w:ascii="仿宋" w:hAnsi="仿宋" w:eastAsia="仿宋" w:cs="仿宋"/>
          <w:b/>
          <w:spacing w:val="0"/>
          <w:w w:val="100"/>
          <w:sz w:val="21"/>
          <w:szCs w:val="21"/>
        </w:rPr>
      </w:pP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如果我方在贵公司组织的</w:t>
      </w:r>
      <w:r>
        <w:rPr>
          <w:rFonts w:hint="eastAsia" w:ascii="仿宋" w:hAnsi="仿宋" w:eastAsia="仿宋" w:cs="仿宋"/>
          <w:spacing w:val="0"/>
          <w:w w:val="100"/>
          <w:sz w:val="21"/>
          <w:szCs w:val="21"/>
          <w:u w:val="single"/>
        </w:rPr>
        <w:t>（项目名称）</w:t>
      </w:r>
      <w:r>
        <w:rPr>
          <w:rFonts w:hint="eastAsia" w:ascii="仿宋" w:hAnsi="仿宋" w:eastAsia="仿宋" w:cs="仿宋"/>
          <w:spacing w:val="0"/>
          <w:w w:val="100"/>
          <w:sz w:val="21"/>
          <w:szCs w:val="21"/>
          <w:lang w:val="en-US" w:eastAsia="zh-CN"/>
        </w:rPr>
        <w:t>,(</w:t>
      </w:r>
      <w:r>
        <w:rPr>
          <w:rFonts w:hint="eastAsia" w:ascii="仿宋" w:hAnsi="仿宋" w:eastAsia="仿宋" w:cs="仿宋"/>
          <w:spacing w:val="0"/>
          <w:w w:val="100"/>
          <w:sz w:val="21"/>
          <w:szCs w:val="21"/>
          <w:u w:val="none"/>
          <w:lang w:eastAsia="zh-CN"/>
        </w:rPr>
        <w:t>项目编号</w:t>
      </w:r>
      <w:r>
        <w:rPr>
          <w:rFonts w:hint="eastAsia" w:ascii="仿宋" w:hAnsi="仿宋" w:eastAsia="仿宋" w:cs="仿宋"/>
          <w:spacing w:val="0"/>
          <w:w w:val="100"/>
          <w:sz w:val="21"/>
          <w:szCs w:val="21"/>
          <w:u w:val="none"/>
          <w:lang w:val="en-US" w:eastAsia="zh-CN"/>
        </w:rPr>
        <w:t>:</w:t>
      </w:r>
      <w:r>
        <w:rPr>
          <w:rFonts w:hint="eastAsia" w:ascii="仿宋" w:hAnsi="仿宋" w:eastAsia="仿宋" w:cs="仿宋"/>
          <w:spacing w:val="0"/>
          <w:w w:val="100"/>
          <w:sz w:val="21"/>
          <w:szCs w:val="21"/>
          <w:u w:val="single"/>
          <w:lang w:val="en-US" w:eastAsia="zh-CN"/>
        </w:rPr>
        <w:t xml:space="preserve">               </w:t>
      </w:r>
      <w:r>
        <w:rPr>
          <w:rFonts w:hint="eastAsia" w:ascii="仿宋" w:hAnsi="仿宋" w:eastAsia="仿宋" w:cs="仿宋"/>
          <w:spacing w:val="0"/>
          <w:w w:val="100"/>
          <w:sz w:val="21"/>
          <w:szCs w:val="21"/>
          <w:u w:val="none"/>
          <w:lang w:val="en-US" w:eastAsia="zh-CN"/>
        </w:rPr>
        <w:t xml:space="preserve"> )</w:t>
      </w:r>
      <w:r>
        <w:rPr>
          <w:rFonts w:hint="eastAsia" w:ascii="仿宋" w:hAnsi="仿宋" w:eastAsia="仿宋" w:cs="仿宋"/>
          <w:spacing w:val="0"/>
          <w:w w:val="100"/>
          <w:sz w:val="21"/>
          <w:szCs w:val="21"/>
          <w:lang w:val="en-US" w:eastAsia="zh-CN"/>
        </w:rPr>
        <w:t>采购活动</w:t>
      </w:r>
      <w:r>
        <w:rPr>
          <w:rFonts w:hint="eastAsia" w:ascii="仿宋" w:hAnsi="仿宋" w:eastAsia="仿宋" w:cs="仿宋"/>
          <w:spacing w:val="0"/>
          <w:w w:val="100"/>
          <w:sz w:val="21"/>
          <w:szCs w:val="21"/>
        </w:rPr>
        <w:t>中获</w:t>
      </w:r>
      <w:r>
        <w:rPr>
          <w:rFonts w:hint="eastAsia" w:ascii="仿宋" w:hAnsi="仿宋" w:eastAsia="仿宋" w:cs="仿宋"/>
          <w:spacing w:val="0"/>
          <w:w w:val="100"/>
          <w:sz w:val="21"/>
          <w:szCs w:val="21"/>
          <w:lang w:val="en-US" w:eastAsia="zh-CN"/>
        </w:rPr>
        <w:t>成交</w:t>
      </w:r>
      <w:r>
        <w:rPr>
          <w:rFonts w:hint="eastAsia" w:ascii="仿宋" w:hAnsi="仿宋" w:eastAsia="仿宋" w:cs="仿宋"/>
          <w:spacing w:val="0"/>
          <w:w w:val="100"/>
          <w:sz w:val="21"/>
          <w:szCs w:val="21"/>
        </w:rPr>
        <w:t>，我方保证在收到《成交通知书》后，按</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规定“供应商须知”向贵公司交纳中标服务费。</w:t>
      </w: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w w:val="100"/>
          <w:sz w:val="21"/>
          <w:szCs w:val="21"/>
          <w:lang w:val="en-US" w:eastAsia="zh-CN"/>
        </w:rPr>
      </w:pPr>
      <w:r>
        <w:rPr>
          <w:rFonts w:hint="eastAsia" w:ascii="仿宋" w:hAnsi="仿宋" w:eastAsia="仿宋" w:cs="仿宋"/>
          <w:spacing w:val="0"/>
          <w:w w:val="100"/>
          <w:sz w:val="21"/>
          <w:szCs w:val="21"/>
          <w:lang w:val="zh-CN" w:eastAsia="zh-CN"/>
        </w:rPr>
        <w:t>我方如</w:t>
      </w:r>
      <w:r>
        <w:rPr>
          <w:rFonts w:hint="eastAsia" w:ascii="仿宋" w:hAnsi="仿宋" w:eastAsia="仿宋" w:cs="仿宋"/>
          <w:spacing w:val="0"/>
          <w:w w:val="100"/>
          <w:sz w:val="21"/>
          <w:szCs w:val="21"/>
          <w:lang w:val="en-US" w:eastAsia="zh-CN"/>
        </w:rPr>
        <w:t>有</w:t>
      </w:r>
      <w:r>
        <w:rPr>
          <w:rFonts w:hint="eastAsia" w:ascii="仿宋" w:hAnsi="仿宋" w:eastAsia="仿宋" w:cs="仿宋"/>
          <w:spacing w:val="0"/>
          <w:w w:val="100"/>
          <w:sz w:val="21"/>
          <w:szCs w:val="21"/>
          <w:lang w:val="zh-CN" w:eastAsia="zh-CN"/>
        </w:rPr>
        <w:t>违约，愿凭贵公司开出的违约通知，</w:t>
      </w:r>
      <w:r>
        <w:rPr>
          <w:rFonts w:hint="eastAsia" w:ascii="仿宋" w:hAnsi="仿宋" w:eastAsia="仿宋" w:cs="仿宋"/>
          <w:spacing w:val="0"/>
          <w:w w:val="100"/>
          <w:sz w:val="21"/>
          <w:szCs w:val="21"/>
          <w:lang w:val="en-US" w:eastAsia="zh-CN"/>
        </w:rPr>
        <w:t>我方将承担违约造成的一切后果</w:t>
      </w:r>
      <w:r>
        <w:rPr>
          <w:rFonts w:hint="eastAsia" w:ascii="仿宋" w:hAnsi="仿宋" w:eastAsia="仿宋" w:cs="仿宋"/>
          <w:spacing w:val="0"/>
          <w:w w:val="100"/>
          <w:sz w:val="21"/>
          <w:szCs w:val="21"/>
          <w:lang w:val="zh-CN" w:eastAsia="zh-CN"/>
        </w:rPr>
        <w:t>。</w:t>
      </w:r>
    </w:p>
    <w:p>
      <w:pPr>
        <w:pStyle w:val="2"/>
        <w:rPr>
          <w:rFonts w:hint="eastAsia" w:ascii="仿宋" w:hAnsi="仿宋" w:eastAsia="仿宋" w:cs="仿宋"/>
          <w:spacing w:val="0"/>
          <w:w w:val="100"/>
          <w:sz w:val="21"/>
          <w:szCs w:val="21"/>
        </w:rPr>
      </w:pPr>
    </w:p>
    <w:p>
      <w:pPr>
        <w:pStyle w:val="2"/>
        <w:ind w:left="86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特此承诺！</w:t>
      </w: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spacing w:before="10"/>
        <w:rPr>
          <w:rFonts w:hint="eastAsia" w:ascii="仿宋" w:hAnsi="仿宋" w:eastAsia="仿宋" w:cs="仿宋"/>
          <w:spacing w:val="0"/>
          <w:w w:val="100"/>
          <w:sz w:val="21"/>
          <w:szCs w:val="21"/>
        </w:rPr>
      </w:pPr>
    </w:p>
    <w:p>
      <w:pPr>
        <w:pStyle w:val="2"/>
        <w:tabs>
          <w:tab w:val="left" w:pos="6267"/>
          <w:tab w:val="left" w:pos="9507"/>
        </w:tabs>
        <w:spacing w:line="480" w:lineRule="auto"/>
        <w:ind w:left="448"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6267"/>
          <w:tab w:val="left" w:pos="9507"/>
        </w:tabs>
        <w:spacing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bidi w:val="0"/>
        <w:rPr>
          <w:spacing w:val="0"/>
          <w:w w:val="100"/>
        </w:rPr>
      </w:pPr>
      <w:bookmarkStart w:id="108" w:name="3.5 服务费承诺书格式"/>
      <w:bookmarkEnd w:id="108"/>
      <w:bookmarkStart w:id="109" w:name="3.5 服务费承诺书格式"/>
      <w:bookmarkEnd w:id="109"/>
      <w:bookmarkStart w:id="110" w:name="_Toc31780"/>
      <w:r>
        <w:rPr>
          <w:rFonts w:hint="eastAsia" w:ascii="宋体" w:hAnsi="宋体" w:eastAsia="宋体" w:cs="宋体"/>
          <w:b/>
          <w:bCs/>
          <w:spacing w:val="0"/>
          <w:w w:val="100"/>
          <w:sz w:val="36"/>
          <w:szCs w:val="36"/>
          <w:lang w:val="en-US" w:eastAsia="zh-CN" w:bidi="zh-CN"/>
        </w:rPr>
        <w:t>6、同意</w:t>
      </w:r>
      <w:r>
        <w:rPr>
          <w:rFonts w:hint="eastAsia" w:cs="宋体"/>
          <w:b/>
          <w:bCs/>
          <w:spacing w:val="0"/>
          <w:w w:val="100"/>
          <w:sz w:val="36"/>
          <w:szCs w:val="36"/>
          <w:lang w:val="en-US" w:eastAsia="zh-CN" w:bidi="zh-CN"/>
        </w:rPr>
        <w:t>谈判</w:t>
      </w:r>
      <w:r>
        <w:rPr>
          <w:rFonts w:hint="eastAsia" w:ascii="宋体" w:hAnsi="宋体" w:eastAsia="宋体" w:cs="宋体"/>
          <w:b/>
          <w:bCs/>
          <w:spacing w:val="0"/>
          <w:w w:val="100"/>
          <w:sz w:val="36"/>
          <w:szCs w:val="36"/>
          <w:lang w:val="en-US" w:eastAsia="zh-CN" w:bidi="zh-CN"/>
        </w:rPr>
        <w:t>文件条款声明格式</w:t>
      </w:r>
      <w:bookmarkEnd w:id="110"/>
    </w:p>
    <w:p>
      <w:pPr>
        <w:pStyle w:val="2"/>
        <w:spacing w:before="7"/>
        <w:rPr>
          <w:rFonts w:hint="eastAsia" w:ascii="仿宋" w:hAnsi="仿宋" w:eastAsia="仿宋" w:cs="仿宋"/>
          <w:b/>
          <w:spacing w:val="0"/>
          <w:w w:val="100"/>
          <w:sz w:val="59"/>
        </w:rPr>
      </w:pPr>
    </w:p>
    <w:p>
      <w:pPr>
        <w:bidi w:val="0"/>
        <w:jc w:val="center"/>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同意谈判文件条款声明</w:t>
      </w:r>
    </w:p>
    <w:p>
      <w:pPr>
        <w:pStyle w:val="2"/>
        <w:spacing w:before="6"/>
        <w:rPr>
          <w:b/>
          <w:spacing w:val="0"/>
          <w:w w:val="100"/>
          <w:sz w:val="31"/>
        </w:rPr>
      </w:pPr>
    </w:p>
    <w:p>
      <w:pPr>
        <w:pStyle w:val="2"/>
        <w:bidi w:val="0"/>
        <w:rPr>
          <w:rFonts w:hint="eastAsia" w:ascii="仿宋" w:hAnsi="仿宋" w:eastAsia="仿宋" w:cs="仿宋"/>
          <w:spacing w:val="0"/>
          <w:w w:val="100"/>
          <w:sz w:val="21"/>
          <w:szCs w:val="21"/>
        </w:rPr>
      </w:pPr>
      <w:r>
        <w:rPr>
          <w:rFonts w:hint="eastAsia" w:ascii="仿宋" w:hAnsi="仿宋" w:eastAsia="仿宋" w:cs="仿宋"/>
          <w:spacing w:val="0"/>
          <w:w w:val="100"/>
          <w:sz w:val="21"/>
          <w:szCs w:val="21"/>
          <w:lang w:val="zh-CN" w:eastAsia="zh-CN"/>
        </w:rPr>
        <w:t>致：</w:t>
      </w:r>
      <w:r>
        <w:rPr>
          <w:rFonts w:hint="eastAsia" w:ascii="仿宋" w:hAnsi="仿宋" w:eastAsia="仿宋" w:cs="仿宋"/>
          <w:spacing w:val="0"/>
          <w:w w:val="100"/>
          <w:sz w:val="21"/>
          <w:szCs w:val="21"/>
          <w:lang w:val="en-US" w:eastAsia="zh-CN"/>
        </w:rPr>
        <w:t>广东至臻项目管理有限公司</w:t>
      </w:r>
    </w:p>
    <w:p>
      <w:pPr>
        <w:pStyle w:val="2"/>
        <w:bidi w:val="0"/>
        <w:rPr>
          <w:rFonts w:hint="eastAsia" w:ascii="仿宋" w:hAnsi="仿宋" w:eastAsia="仿宋" w:cs="仿宋"/>
          <w:spacing w:val="0"/>
          <w:w w:val="100"/>
          <w:sz w:val="21"/>
          <w:szCs w:val="21"/>
        </w:rPr>
      </w:pP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为响应你方组织的</w:t>
      </w:r>
      <w:r>
        <w:rPr>
          <w:rFonts w:hint="eastAsia" w:ascii="仿宋" w:hAnsi="仿宋" w:eastAsia="仿宋" w:cs="仿宋"/>
          <w:spacing w:val="0"/>
          <w:w w:val="100"/>
          <w:sz w:val="21"/>
          <w:szCs w:val="21"/>
          <w:u w:val="single"/>
        </w:rPr>
        <w:t>（采购项目名称）</w:t>
      </w:r>
      <w:r>
        <w:rPr>
          <w:rFonts w:hint="eastAsia" w:ascii="仿宋" w:hAnsi="仿宋" w:eastAsia="仿宋" w:cs="仿宋"/>
          <w:spacing w:val="0"/>
          <w:w w:val="100"/>
          <w:sz w:val="21"/>
          <w:szCs w:val="21"/>
          <w:lang w:val="en-US" w:eastAsia="zh-CN"/>
        </w:rPr>
        <w:t>,(</w:t>
      </w:r>
      <w:r>
        <w:rPr>
          <w:rFonts w:hint="eastAsia" w:ascii="仿宋" w:hAnsi="仿宋" w:eastAsia="仿宋" w:cs="仿宋"/>
          <w:spacing w:val="0"/>
          <w:w w:val="100"/>
          <w:sz w:val="21"/>
          <w:szCs w:val="21"/>
          <w:u w:val="none"/>
          <w:lang w:eastAsia="zh-CN"/>
        </w:rPr>
        <w:t>采购项目编号</w:t>
      </w:r>
      <w:r>
        <w:rPr>
          <w:rFonts w:hint="eastAsia" w:ascii="仿宋" w:hAnsi="仿宋" w:eastAsia="仿宋" w:cs="仿宋"/>
          <w:spacing w:val="0"/>
          <w:w w:val="100"/>
          <w:sz w:val="21"/>
          <w:szCs w:val="21"/>
          <w:u w:val="none"/>
          <w:lang w:val="en-US" w:eastAsia="zh-CN"/>
        </w:rPr>
        <w:t>:</w:t>
      </w:r>
      <w:r>
        <w:rPr>
          <w:rFonts w:hint="eastAsia" w:ascii="仿宋" w:hAnsi="仿宋" w:eastAsia="仿宋" w:cs="仿宋"/>
          <w:spacing w:val="0"/>
          <w:w w:val="100"/>
          <w:sz w:val="21"/>
          <w:szCs w:val="21"/>
          <w:u w:val="single"/>
          <w:lang w:val="en-US" w:eastAsia="zh-CN"/>
        </w:rPr>
        <w:t xml:space="preserve">               </w:t>
      </w:r>
      <w:r>
        <w:rPr>
          <w:rFonts w:hint="eastAsia" w:ascii="仿宋" w:hAnsi="仿宋" w:eastAsia="仿宋" w:cs="仿宋"/>
          <w:spacing w:val="0"/>
          <w:w w:val="100"/>
          <w:sz w:val="21"/>
          <w:szCs w:val="21"/>
          <w:u w:val="none"/>
          <w:lang w:val="en-US" w:eastAsia="zh-CN"/>
        </w:rPr>
        <w:t xml:space="preserve"> )</w:t>
      </w:r>
      <w:r>
        <w:rPr>
          <w:rFonts w:hint="eastAsia" w:ascii="仿宋" w:hAnsi="仿宋" w:eastAsia="仿宋" w:cs="仿宋"/>
          <w:spacing w:val="0"/>
          <w:w w:val="100"/>
          <w:sz w:val="21"/>
          <w:szCs w:val="21"/>
        </w:rPr>
        <w:t>的</w:t>
      </w:r>
      <w:r>
        <w:rPr>
          <w:rFonts w:hint="eastAsia" w:ascii="仿宋" w:hAnsi="仿宋" w:eastAsia="仿宋" w:cs="仿宋"/>
          <w:spacing w:val="0"/>
          <w:w w:val="100"/>
          <w:sz w:val="21"/>
          <w:szCs w:val="21"/>
          <w:lang w:val="en-US" w:eastAsia="zh-CN"/>
        </w:rPr>
        <w:t>谈判</w:t>
      </w:r>
      <w:r>
        <w:rPr>
          <w:rFonts w:hint="eastAsia" w:ascii="仿宋" w:hAnsi="仿宋" w:eastAsia="仿宋" w:cs="仿宋"/>
          <w:spacing w:val="0"/>
          <w:w w:val="100"/>
          <w:sz w:val="21"/>
          <w:szCs w:val="21"/>
        </w:rPr>
        <w:t>，我方在参与</w:t>
      </w:r>
      <w:r>
        <w:rPr>
          <w:rFonts w:hint="eastAsia" w:ascii="仿宋" w:hAnsi="仿宋" w:eastAsia="仿宋" w:cs="仿宋"/>
          <w:spacing w:val="0"/>
          <w:w w:val="100"/>
          <w:sz w:val="21"/>
          <w:szCs w:val="21"/>
          <w:lang w:val="en-US" w:eastAsia="zh-CN"/>
        </w:rPr>
        <w:t>谈判</w:t>
      </w:r>
      <w:r>
        <w:rPr>
          <w:rFonts w:hint="eastAsia" w:ascii="仿宋" w:hAnsi="仿宋" w:eastAsia="仿宋" w:cs="仿宋"/>
          <w:spacing w:val="0"/>
          <w:w w:val="100"/>
          <w:sz w:val="21"/>
          <w:szCs w:val="21"/>
        </w:rPr>
        <w:t>前已详细研究了</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w w:val="100"/>
          <w:sz w:val="21"/>
          <w:szCs w:val="21"/>
          <w:lang w:val="en-US" w:eastAsia="zh-CN"/>
        </w:rPr>
        <w:t>供应商</w:t>
      </w:r>
      <w:r>
        <w:rPr>
          <w:rFonts w:hint="eastAsia" w:ascii="仿宋" w:hAnsi="仿宋" w:eastAsia="仿宋" w:cs="仿宋"/>
          <w:spacing w:val="0"/>
          <w:w w:val="100"/>
          <w:sz w:val="21"/>
          <w:szCs w:val="21"/>
        </w:rPr>
        <w:t>的内容，我方同意</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的相关条款。</w:t>
      </w: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特此声明。</w:t>
      </w:r>
    </w:p>
    <w:p>
      <w:pPr>
        <w:pStyle w:val="2"/>
        <w:rPr>
          <w:rFonts w:hint="eastAsia" w:ascii="仿宋" w:hAnsi="仿宋" w:eastAsia="仿宋" w:cs="仿宋"/>
          <w:spacing w:val="0"/>
          <w:w w:val="100"/>
          <w:sz w:val="21"/>
          <w:szCs w:val="21"/>
        </w:rPr>
      </w:pPr>
    </w:p>
    <w:p>
      <w:pPr>
        <w:bidi w:val="0"/>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tabs>
          <w:tab w:val="left" w:pos="6267"/>
          <w:tab w:val="left" w:pos="9507"/>
        </w:tabs>
        <w:spacing w:before="173" w:line="480" w:lineRule="auto"/>
        <w:ind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6267"/>
          <w:tab w:val="left" w:pos="9507"/>
        </w:tabs>
        <w:spacing w:before="173" w:line="480" w:lineRule="auto"/>
        <w:ind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lang w:val="en-US" w:eastAsia="zh-CN"/>
        </w:rPr>
        <w:t xml:space="preserve">   </w:t>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lang w:val="en-US" w:eastAsia="zh-CN"/>
        </w:rPr>
        <w:t xml:space="preserve"> </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rPr>
      </w:pPr>
      <w:r>
        <w:rPr>
          <w:rFonts w:hint="eastAsia" w:ascii="仿宋" w:hAnsi="仿宋" w:eastAsia="仿宋" w:cs="仿宋"/>
        </w:rPr>
        <w:br w:type="page"/>
      </w: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3"/>
        <w:ind w:left="1268"/>
        <w:jc w:val="center"/>
        <w:outlineLvl w:val="0"/>
        <w:rPr>
          <w:rFonts w:ascii="Times New Roman" w:hAnsi="Times New Roman" w:eastAsia="宋体" w:cs="Times New Roman"/>
          <w:spacing w:val="0"/>
          <w:w w:val="100"/>
        </w:rPr>
      </w:pPr>
      <w:bookmarkStart w:id="111" w:name="_Toc2326"/>
      <w:bookmarkStart w:id="112" w:name="_Toc19099"/>
      <w:r>
        <w:rPr>
          <w:spacing w:val="0"/>
          <w:w w:val="100"/>
        </w:rPr>
        <w:t>四、商务部分</w:t>
      </w:r>
      <w:bookmarkEnd w:id="111"/>
      <w:bookmarkEnd w:id="112"/>
    </w:p>
    <w:p>
      <w:pPr>
        <w:pStyle w:val="2"/>
        <w:rPr>
          <w:rFonts w:hint="eastAsia"/>
          <w:spacing w:val="0"/>
          <w:w w:val="100"/>
        </w:rPr>
      </w:pPr>
    </w:p>
    <w:p>
      <w:pPr>
        <w:rPr>
          <w:rFonts w:hint="eastAsia"/>
        </w:rPr>
      </w:pPr>
    </w:p>
    <w:p>
      <w:pPr>
        <w:pStyle w:val="21"/>
        <w:rPr>
          <w:rFonts w:hint="eastAsia"/>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73"/>
        </w:numPr>
        <w:bidi w:val="0"/>
        <w:ind w:left="425" w:leftChars="0" w:right="0" w:rightChars="0" w:hanging="425" w:firstLineChars="0"/>
        <w:rPr>
          <w:rFonts w:hint="eastAsia" w:ascii="仿宋" w:hAnsi="仿宋" w:eastAsia="仿宋" w:cs="仿宋"/>
          <w:spacing w:val="0"/>
          <w:w w:val="100"/>
        </w:rPr>
      </w:pPr>
      <w:bookmarkStart w:id="113" w:name="_Toc9491"/>
      <w:bookmarkStart w:id="114" w:name="_Toc13063"/>
      <w:r>
        <w:rPr>
          <w:rStyle w:val="39"/>
          <w:rFonts w:hint="eastAsia" w:ascii="宋体" w:hAnsi="宋体" w:eastAsia="宋体" w:cs="宋体"/>
          <w:spacing w:val="0"/>
          <w:w w:val="100"/>
          <w:sz w:val="36"/>
          <w:szCs w:val="36"/>
        </w:rPr>
        <w:t>商务</w:t>
      </w:r>
      <w:r>
        <w:rPr>
          <w:rStyle w:val="39"/>
          <w:rFonts w:hint="eastAsia" w:ascii="宋体" w:hAnsi="宋体" w:eastAsia="宋体" w:cs="宋体"/>
          <w:spacing w:val="0"/>
          <w:w w:val="100"/>
          <w:sz w:val="36"/>
          <w:szCs w:val="36"/>
          <w:lang w:val="en-US" w:eastAsia="zh-CN"/>
        </w:rPr>
        <w:t>要求</w:t>
      </w:r>
      <w:r>
        <w:rPr>
          <w:rStyle w:val="39"/>
          <w:rFonts w:hint="eastAsia" w:ascii="宋体" w:hAnsi="宋体" w:eastAsia="宋体" w:cs="宋体"/>
          <w:spacing w:val="0"/>
          <w:w w:val="100"/>
          <w:sz w:val="36"/>
          <w:szCs w:val="36"/>
        </w:rPr>
        <w:t>响应表格式</w:t>
      </w:r>
      <w:bookmarkEnd w:id="113"/>
      <w:bookmarkEnd w:id="114"/>
    </w:p>
    <w:p>
      <w:pPr>
        <w:pStyle w:val="2"/>
        <w:spacing w:before="3"/>
        <w:rPr>
          <w:rFonts w:hint="eastAsia" w:ascii="仿宋" w:hAnsi="仿宋" w:eastAsia="仿宋" w:cs="仿宋"/>
          <w:b/>
          <w:spacing w:val="0"/>
          <w:w w:val="100"/>
          <w:sz w:val="45"/>
        </w:rPr>
      </w:pPr>
    </w:p>
    <w:p>
      <w:pPr>
        <w:pStyle w:val="7"/>
        <w:keepNext w:val="0"/>
        <w:keepLines w:val="0"/>
        <w:pageBreakBefore w:val="0"/>
        <w:widowControl w:val="0"/>
        <w:numPr>
          <w:ilvl w:val="0"/>
          <w:numId w:val="74"/>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w w:val="100"/>
          <w:sz w:val="44"/>
          <w:szCs w:val="44"/>
        </w:rPr>
      </w:pPr>
      <w:r>
        <w:rPr>
          <w:rFonts w:hint="eastAsia" w:ascii="仿宋" w:hAnsi="仿宋" w:eastAsia="仿宋" w:cs="仿宋"/>
          <w:spacing w:val="0"/>
          <w:w w:val="100"/>
          <w:sz w:val="44"/>
          <w:szCs w:val="44"/>
          <w:lang w:val="en-US" w:eastAsia="zh-CN"/>
        </w:rPr>
        <w:t>实质性</w:t>
      </w:r>
      <w:r>
        <w:rPr>
          <w:rFonts w:hint="eastAsia" w:ascii="仿宋" w:hAnsi="仿宋" w:eastAsia="仿宋" w:cs="仿宋"/>
          <w:spacing w:val="0"/>
          <w:w w:val="100"/>
          <w:sz w:val="44"/>
          <w:szCs w:val="44"/>
        </w:rPr>
        <w:t>商务</w:t>
      </w:r>
      <w:r>
        <w:rPr>
          <w:rFonts w:hint="eastAsia" w:ascii="仿宋" w:hAnsi="仿宋" w:eastAsia="仿宋" w:cs="仿宋"/>
          <w:spacing w:val="0"/>
          <w:w w:val="100"/>
          <w:sz w:val="44"/>
          <w:szCs w:val="44"/>
          <w:lang w:val="en-US" w:eastAsia="zh-CN"/>
        </w:rPr>
        <w:t>要求(“★”条款)响</w:t>
      </w:r>
      <w:r>
        <w:rPr>
          <w:rFonts w:hint="eastAsia" w:ascii="仿宋" w:hAnsi="仿宋" w:eastAsia="仿宋" w:cs="仿宋"/>
          <w:spacing w:val="0"/>
          <w:w w:val="100"/>
          <w:sz w:val="44"/>
          <w:szCs w:val="44"/>
        </w:rPr>
        <w:t>应表</w:t>
      </w:r>
    </w:p>
    <w:p>
      <w:pPr>
        <w:snapToGrid w:val="0"/>
        <w:spacing w:line="360" w:lineRule="auto"/>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numPr>
          <w:ilvl w:val="0"/>
          <w:numId w:val="0"/>
        </w:numPr>
        <w:ind w:right="0" w:rightChars="0"/>
        <w:rPr>
          <w:rFonts w:hint="eastAsia" w:ascii="仿宋" w:hAnsi="仿宋" w:eastAsia="仿宋" w:cs="仿宋"/>
          <w:spacing w:val="0"/>
          <w:w w:val="100"/>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序号</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采购要求</w:t>
            </w: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bCs/>
                <w:spacing w:val="0"/>
                <w:w w:val="100"/>
                <w:lang w:val="en-US" w:eastAsia="zh-CN"/>
              </w:rPr>
              <w:t>供应商实际响应情况</w:t>
            </w: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是否响应</w:t>
            </w: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1</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2</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3</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bl>
    <w:p>
      <w:pPr>
        <w:pStyle w:val="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w w:val="100"/>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1、供应商须对应</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商务要求”中的</w:t>
      </w:r>
      <w:r>
        <w:rPr>
          <w:rFonts w:hint="eastAsia" w:ascii="仿宋" w:hAnsi="仿宋" w:eastAsia="仿宋" w:cs="仿宋"/>
          <w:spacing w:val="0"/>
          <w:w w:val="100"/>
          <w:sz w:val="21"/>
          <w:szCs w:val="21"/>
          <w:lang w:val="en-US" w:eastAsia="zh-CN"/>
        </w:rPr>
        <w:t>带</w:t>
      </w:r>
      <w:r>
        <w:rPr>
          <w:rFonts w:hint="eastAsia" w:ascii="仿宋" w:hAnsi="仿宋" w:eastAsia="仿宋" w:cs="仿宋"/>
          <w:spacing w:val="0"/>
          <w:w w:val="10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w w:val="100"/>
          <w:sz w:val="21"/>
          <w:szCs w:val="21"/>
        </w:rPr>
      </w:pPr>
      <w:bookmarkStart w:id="115" w:name="_Toc19344"/>
      <w:r>
        <w:rPr>
          <w:rFonts w:hint="eastAsia" w:ascii="仿宋" w:hAnsi="仿宋" w:eastAsia="仿宋" w:cs="仿宋"/>
          <w:spacing w:val="0"/>
          <w:w w:val="100"/>
          <w:sz w:val="21"/>
          <w:szCs w:val="21"/>
        </w:rPr>
        <w:t>2、本表格式不得擅自修改。</w:t>
      </w:r>
      <w:bookmarkEnd w:id="115"/>
    </w:p>
    <w:p>
      <w:pPr>
        <w:pStyle w:val="2"/>
        <w:spacing w:line="360" w:lineRule="auto"/>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2"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keepNext w:val="0"/>
        <w:keepLines w:val="0"/>
        <w:pageBreakBefore w:val="0"/>
        <w:widowControl w:val="0"/>
        <w:numPr>
          <w:ilvl w:val="0"/>
          <w:numId w:val="74"/>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w w:val="100"/>
          <w:sz w:val="44"/>
          <w:szCs w:val="44"/>
          <w:lang w:val="en-US" w:eastAsia="zh-CN"/>
        </w:rPr>
      </w:pPr>
      <w:r>
        <w:rPr>
          <w:rFonts w:hint="eastAsia" w:ascii="仿宋" w:hAnsi="仿宋" w:eastAsia="仿宋" w:cs="仿宋"/>
          <w:spacing w:val="0"/>
          <w:w w:val="100"/>
          <w:sz w:val="44"/>
          <w:szCs w:val="44"/>
          <w:lang w:val="en-US" w:eastAsia="zh-CN"/>
        </w:rPr>
        <w:t>重要商务要求(“▲”条款)响应表格式</w:t>
      </w:r>
    </w:p>
    <w:p>
      <w:pPr>
        <w:snapToGrid w:val="0"/>
        <w:spacing w:line="360" w:lineRule="auto"/>
        <w:jc w:val="center"/>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numPr>
          <w:ilvl w:val="0"/>
          <w:numId w:val="0"/>
        </w:numPr>
        <w:ind w:leftChars="0" w:right="0" w:rightChars="0"/>
        <w:rPr>
          <w:rFonts w:hint="eastAsia" w:ascii="仿宋" w:hAnsi="仿宋" w:eastAsia="仿宋" w:cs="仿宋"/>
          <w:spacing w:val="0"/>
          <w:w w:val="100"/>
          <w:lang w:val="en-US" w:eastAsia="zh-CN"/>
        </w:rPr>
      </w:pPr>
    </w:p>
    <w:p>
      <w:pPr>
        <w:numPr>
          <w:ilvl w:val="0"/>
          <w:numId w:val="0"/>
        </w:numPr>
        <w:ind w:leftChars="0" w:right="0" w:rightChars="0"/>
        <w:rPr>
          <w:rFonts w:hint="eastAsia" w:ascii="仿宋" w:hAnsi="仿宋" w:eastAsia="仿宋" w:cs="仿宋"/>
          <w:spacing w:val="0"/>
          <w:w w:val="100"/>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lang w:val="en-US" w:eastAsia="zh-CN"/>
              </w:rPr>
              <w:t>采购</w:t>
            </w:r>
            <w:r>
              <w:rPr>
                <w:rFonts w:hint="eastAsia" w:ascii="仿宋" w:hAnsi="仿宋" w:eastAsia="仿宋" w:cs="仿宋"/>
                <w:b/>
                <w:bCs/>
                <w:spacing w:val="0"/>
                <w:w w:val="100"/>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bl>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w w:val="10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w:t>
      </w:r>
      <w:r>
        <w:rPr>
          <w:rFonts w:hint="eastAsia" w:ascii="仿宋" w:hAnsi="仿宋" w:eastAsia="仿宋" w:cs="仿宋"/>
          <w:spacing w:val="0"/>
          <w:w w:val="100"/>
          <w:sz w:val="21"/>
          <w:szCs w:val="21"/>
          <w:lang w:val="en-US" w:eastAsia="zh-CN" w:bidi="zh-CN"/>
        </w:rPr>
        <w:t>谈判文件</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商务要求</w:t>
      </w:r>
      <w:r>
        <w:rPr>
          <w:rFonts w:hint="eastAsia" w:ascii="仿宋" w:hAnsi="仿宋" w:eastAsia="仿宋" w:cs="仿宋"/>
          <w:spacing w:val="0"/>
          <w:w w:val="100"/>
          <w:sz w:val="21"/>
          <w:szCs w:val="21"/>
          <w:lang w:val="zh-CN" w:eastAsia="zh-CN" w:bidi="zh-CN"/>
        </w:rPr>
        <w:t>”中带“▲”的条款逐条响应，</w:t>
      </w:r>
      <w:r>
        <w:rPr>
          <w:rFonts w:hint="eastAsia" w:ascii="仿宋" w:hAnsi="仿宋" w:eastAsia="仿宋" w:cs="仿宋"/>
          <w:spacing w:val="0"/>
          <w:w w:val="100"/>
          <w:sz w:val="21"/>
          <w:szCs w:val="21"/>
          <w:lang w:val="en-US" w:eastAsia="zh-CN" w:bidi="zh-CN"/>
        </w:rPr>
        <w:t>带</w:t>
      </w:r>
      <w:r>
        <w:rPr>
          <w:rFonts w:hint="eastAsia" w:ascii="仿宋" w:hAnsi="仿宋" w:eastAsia="仿宋" w:cs="仿宋"/>
          <w:spacing w:val="0"/>
          <w:w w:val="100"/>
          <w:sz w:val="21"/>
          <w:szCs w:val="21"/>
          <w:lang w:val="zh-CN" w:eastAsia="zh-CN" w:bidi="zh-CN"/>
        </w:rPr>
        <w:t>“▲”的条款为重要性要求</w:t>
      </w:r>
      <w:r>
        <w:rPr>
          <w:rFonts w:hint="eastAsia" w:ascii="仿宋" w:hAnsi="仿宋" w:eastAsia="仿宋" w:cs="仿宋"/>
          <w:spacing w:val="0"/>
          <w:w w:val="100"/>
          <w:sz w:val="21"/>
          <w:szCs w:val="21"/>
          <w:lang w:val="en-US" w:eastAsia="zh-CN" w:bidi="zh-CN"/>
        </w:rPr>
        <w:t>,</w:t>
      </w:r>
      <w:r>
        <w:rPr>
          <w:rFonts w:hint="eastAsia" w:ascii="仿宋" w:hAnsi="仿宋" w:eastAsia="仿宋" w:cs="仿宋"/>
          <w:spacing w:val="0"/>
          <w:w w:val="100"/>
          <w:sz w:val="21"/>
          <w:szCs w:val="21"/>
          <w:lang w:val="zh-CN" w:eastAsia="zh-CN" w:bidi="zh-CN"/>
        </w:rPr>
        <w:t>未响应或负偏离</w:t>
      </w:r>
      <w:r>
        <w:rPr>
          <w:rFonts w:hint="eastAsia" w:ascii="仿宋" w:hAnsi="仿宋" w:eastAsia="仿宋" w:cs="仿宋"/>
          <w:spacing w:val="0"/>
          <w:w w:val="100"/>
          <w:sz w:val="21"/>
          <w:szCs w:val="21"/>
          <w:lang w:val="en-US" w:eastAsia="zh-CN" w:bidi="zh-CN"/>
        </w:rPr>
        <w:t>将影响对供应商的评审</w:t>
      </w:r>
      <w:r>
        <w:rPr>
          <w:rFonts w:hint="eastAsia" w:ascii="仿宋" w:hAnsi="仿宋" w:eastAsia="仿宋" w:cs="仿宋"/>
          <w:spacing w:val="0"/>
          <w:w w:val="10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2"/>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rPr>
          <w:rFonts w:hint="eastAsia"/>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keepNext w:val="0"/>
        <w:keepLines w:val="0"/>
        <w:pageBreakBefore w:val="0"/>
        <w:widowControl w:val="0"/>
        <w:numPr>
          <w:ilvl w:val="0"/>
          <w:numId w:val="74"/>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w w:val="100"/>
          <w:sz w:val="44"/>
          <w:szCs w:val="44"/>
          <w:lang w:val="en-US" w:eastAsia="zh-CN"/>
        </w:rPr>
      </w:pPr>
      <w:r>
        <w:rPr>
          <w:rFonts w:hint="eastAsia" w:ascii="仿宋" w:hAnsi="仿宋" w:eastAsia="仿宋" w:cs="仿宋"/>
          <w:spacing w:val="0"/>
          <w:w w:val="100"/>
          <w:sz w:val="44"/>
          <w:szCs w:val="44"/>
          <w:lang w:val="en-US" w:eastAsia="zh-CN"/>
        </w:rPr>
        <w:t>一般商务条款响应表</w:t>
      </w:r>
    </w:p>
    <w:p>
      <w:pPr>
        <w:snapToGrid w:val="0"/>
        <w:spacing w:line="480" w:lineRule="auto"/>
        <w:jc w:val="left"/>
        <w:rPr>
          <w:rFonts w:hint="eastAsia" w:ascii="仿宋" w:hAnsi="仿宋" w:eastAsia="仿宋" w:cs="仿宋"/>
          <w:spacing w:val="0"/>
          <w:w w:val="100"/>
          <w:sz w:val="21"/>
          <w:szCs w:val="21"/>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tbl>
      <w:tblPr>
        <w:tblStyle w:val="22"/>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28"/>
              <w:spacing w:before="6"/>
              <w:rPr>
                <w:rFonts w:hint="eastAsia" w:ascii="仿宋" w:hAnsi="仿宋" w:eastAsia="仿宋" w:cs="仿宋"/>
                <w:b/>
                <w:spacing w:val="0"/>
                <w:w w:val="100"/>
                <w:sz w:val="32"/>
              </w:rPr>
            </w:pPr>
          </w:p>
          <w:p>
            <w:pPr>
              <w:pStyle w:val="28"/>
              <w:ind w:left="92" w:right="84"/>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6797" w:type="dxa"/>
            <w:noWrap w:val="0"/>
            <w:vAlign w:val="top"/>
          </w:tcPr>
          <w:p>
            <w:pPr>
              <w:pStyle w:val="28"/>
              <w:spacing w:before="6"/>
              <w:rPr>
                <w:rFonts w:hint="eastAsia" w:ascii="仿宋" w:hAnsi="仿宋" w:eastAsia="仿宋" w:cs="仿宋"/>
                <w:b/>
                <w:spacing w:val="0"/>
                <w:w w:val="100"/>
                <w:sz w:val="32"/>
              </w:rPr>
            </w:pPr>
          </w:p>
          <w:p>
            <w:pPr>
              <w:pStyle w:val="28"/>
              <w:ind w:left="2417" w:right="2401"/>
              <w:jc w:val="center"/>
              <w:rPr>
                <w:rFonts w:hint="eastAsia" w:ascii="仿宋" w:hAnsi="仿宋" w:eastAsia="仿宋" w:cs="仿宋"/>
                <w:b/>
                <w:spacing w:val="0"/>
                <w:w w:val="100"/>
                <w:sz w:val="24"/>
              </w:rPr>
            </w:pPr>
            <w:r>
              <w:rPr>
                <w:rFonts w:hint="eastAsia" w:ascii="仿宋" w:hAnsi="仿宋" w:eastAsia="仿宋" w:cs="仿宋"/>
                <w:b/>
                <w:spacing w:val="0"/>
                <w:w w:val="100"/>
                <w:sz w:val="24"/>
              </w:rPr>
              <w:t>一般商务条款要求</w:t>
            </w:r>
          </w:p>
        </w:tc>
        <w:tc>
          <w:tcPr>
            <w:tcW w:w="830" w:type="dxa"/>
            <w:noWrap w:val="0"/>
            <w:vAlign w:val="top"/>
          </w:tcPr>
          <w:p>
            <w:pPr>
              <w:pStyle w:val="28"/>
              <w:spacing w:before="3"/>
              <w:rPr>
                <w:rFonts w:hint="eastAsia" w:ascii="仿宋" w:hAnsi="仿宋" w:eastAsia="仿宋" w:cs="仿宋"/>
                <w:b/>
                <w:spacing w:val="0"/>
                <w:w w:val="100"/>
                <w:sz w:val="20"/>
              </w:rPr>
            </w:pPr>
          </w:p>
          <w:p>
            <w:pPr>
              <w:pStyle w:val="28"/>
              <w:spacing w:line="242" w:lineRule="auto"/>
              <w:ind w:left="174" w:right="163"/>
              <w:rPr>
                <w:rFonts w:hint="eastAsia" w:ascii="仿宋" w:hAnsi="仿宋" w:eastAsia="仿宋" w:cs="仿宋"/>
                <w:b/>
                <w:spacing w:val="0"/>
                <w:w w:val="100"/>
                <w:sz w:val="24"/>
              </w:rPr>
            </w:pPr>
            <w:r>
              <w:rPr>
                <w:rFonts w:hint="eastAsia" w:ascii="仿宋" w:hAnsi="仿宋" w:eastAsia="仿宋" w:cs="仿宋"/>
                <w:b/>
                <w:spacing w:val="0"/>
                <w:w w:val="100"/>
                <w:sz w:val="24"/>
              </w:rPr>
              <w:t>是否响应</w:t>
            </w:r>
          </w:p>
        </w:tc>
        <w:tc>
          <w:tcPr>
            <w:tcW w:w="1292" w:type="dxa"/>
            <w:noWrap w:val="0"/>
            <w:vAlign w:val="top"/>
          </w:tcPr>
          <w:p>
            <w:pPr>
              <w:pStyle w:val="28"/>
              <w:spacing w:before="6"/>
              <w:rPr>
                <w:rFonts w:hint="eastAsia" w:ascii="仿宋" w:hAnsi="仿宋" w:eastAsia="仿宋" w:cs="仿宋"/>
                <w:b/>
                <w:spacing w:val="0"/>
                <w:w w:val="100"/>
                <w:sz w:val="32"/>
              </w:rPr>
            </w:pPr>
          </w:p>
          <w:p>
            <w:pPr>
              <w:pStyle w:val="28"/>
              <w:ind w:left="165"/>
              <w:rPr>
                <w:rFonts w:hint="eastAsia" w:ascii="仿宋" w:hAnsi="仿宋" w:eastAsia="仿宋" w:cs="仿宋"/>
                <w:b/>
                <w:spacing w:val="0"/>
                <w:w w:val="100"/>
                <w:sz w:val="24"/>
              </w:rPr>
            </w:pPr>
            <w:r>
              <w:rPr>
                <w:rFonts w:hint="eastAsia" w:ascii="仿宋" w:hAnsi="仿宋" w:eastAsia="仿宋" w:cs="仿宋"/>
                <w:b/>
                <w:spacing w:val="0"/>
                <w:w w:val="10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28"/>
              <w:spacing w:before="9"/>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w:t>
            </w:r>
          </w:p>
        </w:tc>
        <w:tc>
          <w:tcPr>
            <w:tcW w:w="6797" w:type="dxa"/>
            <w:noWrap w:val="0"/>
            <w:vAlign w:val="top"/>
          </w:tcPr>
          <w:p>
            <w:pPr>
              <w:pStyle w:val="28"/>
              <w:spacing w:before="43" w:line="360" w:lineRule="auto"/>
              <w:ind w:left="107" w:right="96"/>
              <w:jc w:val="both"/>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同意接受合同范本所列述的各项条款，与采购人最终签订的合同条款按照</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的要求和</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文件的承诺</w:t>
            </w:r>
            <w:r>
              <w:rPr>
                <w:rFonts w:hint="eastAsia" w:ascii="仿宋" w:hAnsi="仿宋" w:eastAsia="仿宋" w:cs="仿宋"/>
                <w:spacing w:val="0"/>
                <w:w w:val="100"/>
                <w:sz w:val="21"/>
                <w:szCs w:val="21"/>
                <w:lang w:val="en-US" w:eastAsia="zh-CN"/>
              </w:rPr>
              <w:t>及合同双方的约定</w:t>
            </w:r>
            <w:r>
              <w:rPr>
                <w:rFonts w:hint="eastAsia" w:ascii="仿宋" w:hAnsi="仿宋" w:eastAsia="仿宋" w:cs="仿宋"/>
                <w:spacing w:val="0"/>
                <w:w w:val="100"/>
                <w:sz w:val="21"/>
                <w:szCs w:val="21"/>
              </w:rPr>
              <w:t>对合同范本进行修订后确定</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28"/>
              <w:spacing w:before="18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w:t>
            </w:r>
          </w:p>
        </w:tc>
        <w:tc>
          <w:tcPr>
            <w:tcW w:w="6797" w:type="dxa"/>
            <w:noWrap w:val="0"/>
            <w:vAlign w:val="top"/>
          </w:tcPr>
          <w:p>
            <w:pPr>
              <w:pStyle w:val="28"/>
              <w:spacing w:before="32"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完全理解并接受对合格供应商、合格的货物、工程和服务的要求</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28"/>
              <w:spacing w:before="15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w:t>
            </w:r>
          </w:p>
        </w:tc>
        <w:tc>
          <w:tcPr>
            <w:tcW w:w="6797" w:type="dxa"/>
            <w:noWrap w:val="0"/>
            <w:vAlign w:val="top"/>
          </w:tcPr>
          <w:p>
            <w:pPr>
              <w:pStyle w:val="28"/>
              <w:spacing w:before="2"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完全理解并接受对供应商的各项须知、规约要求和责任义务</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28"/>
              <w:spacing w:before="6"/>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4</w:t>
            </w:r>
          </w:p>
        </w:tc>
        <w:tc>
          <w:tcPr>
            <w:tcW w:w="6797" w:type="dxa"/>
            <w:noWrap w:val="0"/>
            <w:vAlign w:val="top"/>
          </w:tcPr>
          <w:p>
            <w:pPr>
              <w:pStyle w:val="28"/>
              <w:spacing w:before="158"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lang w:val="en-US" w:eastAsia="zh-CN"/>
              </w:rPr>
              <w:t>响应文件</w:t>
            </w:r>
            <w:r>
              <w:rPr>
                <w:rFonts w:hint="eastAsia" w:ascii="仿宋" w:hAnsi="仿宋" w:eastAsia="仿宋" w:cs="仿宋"/>
                <w:spacing w:val="0"/>
                <w:w w:val="100"/>
                <w:sz w:val="21"/>
                <w:szCs w:val="21"/>
              </w:rPr>
              <w:t>有效期：从</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文件递交截止时间起，</w:t>
            </w:r>
            <w:r>
              <w:rPr>
                <w:rFonts w:hint="eastAsia" w:ascii="仿宋" w:hAnsi="仿宋" w:eastAsia="仿宋" w:cs="仿宋"/>
                <w:spacing w:val="0"/>
                <w:w w:val="100"/>
                <w:sz w:val="21"/>
                <w:szCs w:val="21"/>
                <w:lang w:val="en-US" w:eastAsia="zh-CN"/>
              </w:rPr>
              <w:t>响应文件</w:t>
            </w:r>
            <w:r>
              <w:rPr>
                <w:rFonts w:hint="eastAsia" w:ascii="仿宋" w:hAnsi="仿宋" w:eastAsia="仿宋" w:cs="仿宋"/>
                <w:spacing w:val="0"/>
                <w:w w:val="100"/>
                <w:sz w:val="21"/>
                <w:szCs w:val="21"/>
              </w:rPr>
              <w:t>有效期不少于</w:t>
            </w:r>
            <w:r>
              <w:rPr>
                <w:rFonts w:hint="eastAsia" w:ascii="仿宋" w:hAnsi="仿宋" w:eastAsia="仿宋" w:cs="仿宋"/>
                <w:b/>
                <w:spacing w:val="0"/>
                <w:w w:val="100"/>
                <w:sz w:val="21"/>
                <w:szCs w:val="21"/>
                <w:u w:val="single"/>
                <w:lang w:val="en-US" w:eastAsia="zh-CN"/>
              </w:rPr>
              <w:t>90</w:t>
            </w:r>
            <w:r>
              <w:rPr>
                <w:rFonts w:hint="eastAsia" w:ascii="仿宋" w:hAnsi="仿宋" w:eastAsia="仿宋" w:cs="仿宋"/>
                <w:spacing w:val="0"/>
                <w:w w:val="100"/>
                <w:sz w:val="21"/>
                <w:szCs w:val="21"/>
              </w:rPr>
              <w:t>天，成交</w:t>
            </w:r>
            <w:r>
              <w:rPr>
                <w:rFonts w:hint="eastAsia" w:ascii="仿宋" w:hAnsi="仿宋" w:eastAsia="仿宋" w:cs="仿宋"/>
                <w:spacing w:val="0"/>
                <w:w w:val="100"/>
                <w:sz w:val="21"/>
                <w:szCs w:val="21"/>
                <w:lang w:val="en-US" w:eastAsia="zh-CN"/>
              </w:rPr>
              <w:t>供应商响应文件</w:t>
            </w:r>
            <w:r>
              <w:rPr>
                <w:rFonts w:hint="eastAsia" w:ascii="仿宋" w:hAnsi="仿宋" w:eastAsia="仿宋" w:cs="仿宋"/>
                <w:spacing w:val="0"/>
                <w:w w:val="100"/>
                <w:sz w:val="21"/>
                <w:szCs w:val="21"/>
              </w:rPr>
              <w:t>有效期延至合同终止之日</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28"/>
              <w:spacing w:before="196"/>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5</w:t>
            </w:r>
          </w:p>
        </w:tc>
        <w:tc>
          <w:tcPr>
            <w:tcW w:w="6797" w:type="dxa"/>
            <w:noWrap w:val="0"/>
            <w:vAlign w:val="top"/>
          </w:tcPr>
          <w:p>
            <w:pPr>
              <w:pStyle w:val="28"/>
              <w:spacing w:before="196"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报价内容均涵盖</w:t>
            </w:r>
            <w:r>
              <w:rPr>
                <w:rFonts w:hint="eastAsia" w:ascii="仿宋" w:hAnsi="仿宋" w:eastAsia="仿宋" w:cs="仿宋"/>
                <w:spacing w:val="0"/>
                <w:w w:val="100"/>
                <w:sz w:val="21"/>
                <w:szCs w:val="21"/>
                <w:lang w:val="en-US" w:eastAsia="zh-CN"/>
              </w:rPr>
              <w:t>采购</w:t>
            </w:r>
            <w:r>
              <w:rPr>
                <w:rFonts w:hint="eastAsia" w:ascii="仿宋" w:hAnsi="仿宋" w:eastAsia="仿宋" w:cs="仿宋"/>
                <w:spacing w:val="0"/>
                <w:w w:val="100"/>
                <w:sz w:val="21"/>
                <w:szCs w:val="21"/>
              </w:rPr>
              <w:t>要求</w:t>
            </w:r>
            <w:r>
              <w:rPr>
                <w:rFonts w:hint="eastAsia" w:ascii="仿宋" w:hAnsi="仿宋" w:eastAsia="仿宋" w:cs="仿宋"/>
                <w:spacing w:val="0"/>
                <w:w w:val="100"/>
                <w:sz w:val="21"/>
                <w:szCs w:val="21"/>
                <w:lang w:val="en-US" w:eastAsia="zh-CN"/>
              </w:rPr>
              <w:t>的</w:t>
            </w:r>
            <w:r>
              <w:rPr>
                <w:rFonts w:hint="eastAsia" w:ascii="仿宋" w:hAnsi="仿宋" w:eastAsia="仿宋" w:cs="仿宋"/>
                <w:spacing w:val="0"/>
                <w:w w:val="100"/>
                <w:sz w:val="21"/>
                <w:szCs w:val="21"/>
              </w:rPr>
              <w:t>一切费用和伴随服务</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28"/>
              <w:spacing w:before="6"/>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6</w:t>
            </w:r>
          </w:p>
        </w:tc>
        <w:tc>
          <w:tcPr>
            <w:tcW w:w="6797" w:type="dxa"/>
            <w:noWrap w:val="0"/>
            <w:vAlign w:val="top"/>
          </w:tcPr>
          <w:p>
            <w:pPr>
              <w:pStyle w:val="28"/>
              <w:spacing w:before="158"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所提供的报价不高于权威网站目前的报价水平和广东省现行市场价</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28"/>
              <w:spacing w:before="13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7</w:t>
            </w:r>
          </w:p>
        </w:tc>
        <w:tc>
          <w:tcPr>
            <w:tcW w:w="6797" w:type="dxa"/>
            <w:noWrap w:val="0"/>
            <w:vAlign w:val="top"/>
          </w:tcPr>
          <w:p>
            <w:pPr>
              <w:pStyle w:val="28"/>
              <w:spacing w:before="139"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同意按本项目要求缴付相关款项</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28"/>
              <w:spacing w:before="5"/>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8</w:t>
            </w:r>
          </w:p>
        </w:tc>
        <w:tc>
          <w:tcPr>
            <w:tcW w:w="6797" w:type="dxa"/>
            <w:noWrap w:val="0"/>
            <w:vAlign w:val="top"/>
          </w:tcPr>
          <w:p>
            <w:pPr>
              <w:pStyle w:val="28"/>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同意采购方以任何形式对我方</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文件内容的真实性和有效性进行审查、验证</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28"/>
              <w:spacing w:before="13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9</w:t>
            </w:r>
          </w:p>
        </w:tc>
        <w:tc>
          <w:tcPr>
            <w:tcW w:w="8919" w:type="dxa"/>
            <w:gridSpan w:val="3"/>
            <w:noWrap w:val="0"/>
            <w:vAlign w:val="top"/>
          </w:tcPr>
          <w:p>
            <w:pPr>
              <w:pStyle w:val="28"/>
              <w:spacing w:before="139"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其它商务条款偏离说明：</w:t>
            </w:r>
          </w:p>
        </w:tc>
      </w:tr>
    </w:tbl>
    <w:p>
      <w:pPr>
        <w:pStyle w:val="2"/>
        <w:bidi w:val="0"/>
        <w:spacing w:line="240" w:lineRule="auto"/>
        <w:ind w:firstLine="210" w:firstLineChars="1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2"/>
        <w:bidi w:val="0"/>
        <w:spacing w:line="360" w:lineRule="auto"/>
        <w:ind w:left="240" w:leftChars="109" w:firstLine="0" w:firstLineChars="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1、对于上述要求，如供应商完全响应，则请在“是否响应”栏内打“√”，对空白或打“×”视为偏离，请在“偏离说明”栏内扼要说明偏离情况。</w:t>
      </w:r>
    </w:p>
    <w:p>
      <w:pPr>
        <w:pStyle w:val="2"/>
        <w:bidi w:val="0"/>
        <w:spacing w:line="240" w:lineRule="auto"/>
        <w:ind w:firstLine="210" w:firstLineChars="1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2、本表内容不得擅自修改。</w:t>
      </w:r>
    </w:p>
    <w:p>
      <w:pPr>
        <w:pStyle w:val="2"/>
        <w:bidi w:val="0"/>
        <w:rPr>
          <w:rFonts w:hint="eastAsia" w:ascii="仿宋" w:hAnsi="仿宋" w:eastAsia="仿宋" w:cs="仿宋"/>
          <w:spacing w:val="0"/>
          <w:w w:val="10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6"/>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219" w:after="0" w:line="240" w:lineRule="auto"/>
        <w:ind w:left="318" w:leftChars="0" w:right="0" w:rightChars="0"/>
        <w:jc w:val="left"/>
        <w:textAlignment w:val="auto"/>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lang w:val="en-US" w:eastAsia="zh-CN"/>
        </w:rPr>
        <w:br w:type="page"/>
      </w:r>
    </w:p>
    <w:p>
      <w:pPr>
        <w:pStyle w:val="2"/>
        <w:numPr>
          <w:ilvl w:val="0"/>
          <w:numId w:val="75"/>
        </w:numPr>
        <w:ind w:left="425" w:leftChars="0" w:right="0" w:rightChars="0" w:hanging="425" w:firstLineChars="0"/>
        <w:rPr>
          <w:rStyle w:val="39"/>
          <w:rFonts w:hint="eastAsia" w:ascii="宋体" w:hAnsi="宋体" w:eastAsia="宋体" w:cs="宋体"/>
          <w:spacing w:val="0"/>
          <w:w w:val="100"/>
          <w:sz w:val="36"/>
          <w:szCs w:val="36"/>
          <w:lang w:val="en-US" w:eastAsia="zh-CN"/>
        </w:rPr>
      </w:pPr>
      <w:bookmarkStart w:id="116" w:name="_Toc26921"/>
      <w:r>
        <w:rPr>
          <w:rStyle w:val="39"/>
          <w:rFonts w:hint="eastAsia" w:ascii="宋体" w:hAnsi="宋体" w:eastAsia="宋体" w:cs="宋体"/>
          <w:spacing w:val="0"/>
          <w:w w:val="100"/>
          <w:sz w:val="36"/>
          <w:szCs w:val="36"/>
          <w:lang w:val="en-US" w:eastAsia="zh-CN"/>
        </w:rPr>
        <w:t>供应商基本概况</w:t>
      </w:r>
    </w:p>
    <w:bookmarkEnd w:id="116"/>
    <w:p>
      <w:pPr>
        <w:spacing w:line="360" w:lineRule="auto"/>
        <w:jc w:val="center"/>
        <w:rPr>
          <w:rFonts w:hint="eastAsia" w:ascii="仿宋" w:hAnsi="仿宋" w:eastAsia="仿宋" w:cs="仿宋"/>
          <w:b/>
          <w:color w:val="000000"/>
          <w:spacing w:val="0"/>
          <w:w w:val="100"/>
          <w:sz w:val="24"/>
          <w:szCs w:val="24"/>
          <w:highlight w:val="none"/>
        </w:rPr>
      </w:pPr>
      <w:r>
        <w:rPr>
          <w:rFonts w:hint="eastAsia" w:ascii="仿宋" w:hAnsi="仿宋" w:eastAsia="仿宋" w:cs="仿宋"/>
          <w:b/>
          <w:color w:val="000000"/>
          <w:spacing w:val="0"/>
          <w:w w:val="100"/>
          <w:sz w:val="24"/>
          <w:szCs w:val="24"/>
          <w:highlight w:val="none"/>
          <w:lang w:val="en-US" w:eastAsia="zh-CN"/>
        </w:rPr>
        <w:t>供应商</w:t>
      </w:r>
      <w:r>
        <w:rPr>
          <w:rFonts w:hint="eastAsia" w:ascii="仿宋" w:hAnsi="仿宋" w:eastAsia="仿宋" w:cs="仿宋"/>
          <w:b/>
          <w:color w:val="000000"/>
          <w:spacing w:val="0"/>
          <w:w w:val="100"/>
          <w:sz w:val="24"/>
          <w:szCs w:val="24"/>
          <w:highlight w:val="none"/>
        </w:rPr>
        <w:t>基本情况表</w:t>
      </w:r>
    </w:p>
    <w:tbl>
      <w:tblPr>
        <w:tblStyle w:val="22"/>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1"/>
              <w:widowControl w:val="0"/>
              <w:spacing w:before="0" w:after="0"/>
              <w:rPr>
                <w:rFonts w:hint="eastAsia" w:ascii="仿宋" w:hAnsi="仿宋" w:eastAsia="仿宋" w:cs="仿宋"/>
                <w:color w:val="000000"/>
                <w:spacing w:val="0"/>
                <w:w w:val="1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lang w:val="en-US" w:eastAsia="zh-CN"/>
              </w:rPr>
            </w:pPr>
            <w:r>
              <w:rPr>
                <w:rFonts w:hint="eastAsia" w:ascii="仿宋" w:hAnsi="仿宋" w:eastAsia="仿宋" w:cs="仿宋"/>
                <w:color w:val="000000"/>
                <w:spacing w:val="0"/>
                <w:w w:val="100"/>
                <w:sz w:val="24"/>
                <w:highlight w:val="none"/>
              </w:rPr>
              <w:t xml:space="preserve">年 月 </w:t>
            </w:r>
            <w:r>
              <w:rPr>
                <w:rFonts w:hint="eastAsia" w:ascii="仿宋" w:hAnsi="仿宋" w:eastAsia="仿宋" w:cs="仿宋"/>
                <w:color w:val="000000"/>
                <w:spacing w:val="0"/>
                <w:w w:val="100"/>
                <w:sz w:val="24"/>
                <w:highlight w:val="none"/>
                <w:lang w:val="en-US" w:eastAsia="zh-CN"/>
              </w:rPr>
              <w:t>日</w:t>
            </w:r>
            <w:r>
              <w:rPr>
                <w:rFonts w:hint="eastAsia" w:ascii="仿宋" w:hAnsi="仿宋" w:eastAsia="仿宋" w:cs="仿宋"/>
                <w:color w:val="000000"/>
                <w:spacing w:val="0"/>
                <w:w w:val="100"/>
                <w:sz w:val="24"/>
                <w:highlight w:val="none"/>
              </w:rPr>
              <w:t>- 年 月</w:t>
            </w:r>
            <w:r>
              <w:rPr>
                <w:rFonts w:hint="eastAsia" w:ascii="仿宋" w:hAnsi="仿宋" w:eastAsia="仿宋" w:cs="仿宋"/>
                <w:color w:val="000000"/>
                <w:spacing w:val="0"/>
                <w:w w:val="1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共</w:t>
            </w:r>
            <w:r>
              <w:rPr>
                <w:rFonts w:hint="eastAsia" w:ascii="仿宋" w:hAnsi="仿宋" w:eastAsia="仿宋" w:cs="仿宋"/>
                <w:color w:val="000000"/>
                <w:spacing w:val="0"/>
                <w:w w:val="100"/>
                <w:sz w:val="24"/>
                <w:highlight w:val="none"/>
                <w:u w:val="single"/>
              </w:rPr>
              <w:t xml:space="preserve">   </w:t>
            </w:r>
            <w:r>
              <w:rPr>
                <w:rFonts w:hint="eastAsia" w:ascii="仿宋" w:hAnsi="仿宋" w:eastAsia="仿宋" w:cs="仿宋"/>
                <w:color w:val="000000"/>
                <w:spacing w:val="0"/>
                <w:w w:val="100"/>
                <w:sz w:val="24"/>
                <w:highlight w:val="none"/>
              </w:rPr>
              <w:t>人，其中具有从业资格证的</w:t>
            </w:r>
            <w:r>
              <w:rPr>
                <w:rFonts w:hint="eastAsia" w:ascii="仿宋" w:hAnsi="仿宋" w:eastAsia="仿宋" w:cs="仿宋"/>
                <w:color w:val="000000"/>
                <w:spacing w:val="0"/>
                <w:w w:val="100"/>
                <w:sz w:val="24"/>
                <w:highlight w:val="none"/>
                <w:u w:val="single"/>
              </w:rPr>
              <w:t xml:space="preserve">   </w:t>
            </w:r>
            <w:r>
              <w:rPr>
                <w:rFonts w:hint="eastAsia" w:ascii="仿宋" w:hAnsi="仿宋" w:eastAsia="仿宋" w:cs="仿宋"/>
                <w:color w:val="000000"/>
                <w:spacing w:val="0"/>
                <w:w w:val="1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lang w:eastAsia="zh-CN"/>
              </w:rPr>
            </w:pPr>
            <w:r>
              <w:rPr>
                <w:rFonts w:hint="eastAsia" w:ascii="仿宋" w:hAnsi="仿宋" w:eastAsia="仿宋" w:cs="仿宋"/>
                <w:color w:val="000000"/>
                <w:spacing w:val="0"/>
                <w:w w:val="1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pacing w:val="0"/>
                <w:w w:val="100"/>
                <w:sz w:val="24"/>
                <w:highlight w:val="none"/>
              </w:rPr>
            </w:pPr>
          </w:p>
        </w:tc>
      </w:tr>
    </w:tbl>
    <w:p>
      <w:pPr>
        <w:spacing w:line="360" w:lineRule="auto"/>
        <w:rPr>
          <w:rFonts w:hint="eastAsia" w:ascii="仿宋" w:hAnsi="仿宋" w:eastAsia="仿宋" w:cs="仿宋"/>
          <w:b/>
          <w:bCs/>
          <w:color w:val="000000"/>
          <w:spacing w:val="0"/>
          <w:w w:val="100"/>
          <w:sz w:val="15"/>
          <w:szCs w:val="15"/>
          <w:highlight w:val="none"/>
        </w:rPr>
      </w:pPr>
      <w:r>
        <w:rPr>
          <w:rFonts w:hint="eastAsia" w:ascii="仿宋" w:hAnsi="仿宋" w:eastAsia="仿宋" w:cs="仿宋"/>
          <w:b/>
          <w:bCs/>
          <w:color w:val="000000"/>
          <w:spacing w:val="0"/>
          <w:w w:val="100"/>
          <w:sz w:val="15"/>
          <w:szCs w:val="15"/>
          <w:highlight w:val="none"/>
        </w:rPr>
        <w:t xml:space="preserve">    </w:t>
      </w:r>
    </w:p>
    <w:p>
      <w:pPr>
        <w:spacing w:line="360" w:lineRule="auto"/>
        <w:rPr>
          <w:rFonts w:hint="eastAsia" w:ascii="仿宋" w:hAnsi="仿宋" w:eastAsia="仿宋" w:cs="仿宋"/>
          <w:color w:val="000000"/>
          <w:spacing w:val="0"/>
          <w:w w:val="100"/>
          <w:sz w:val="18"/>
          <w:szCs w:val="18"/>
          <w:highlight w:val="none"/>
        </w:rPr>
      </w:pPr>
      <w:r>
        <w:rPr>
          <w:rFonts w:hint="eastAsia" w:ascii="仿宋" w:hAnsi="仿宋" w:eastAsia="仿宋" w:cs="仿宋"/>
          <w:color w:val="000000"/>
          <w:spacing w:val="0"/>
          <w:w w:val="100"/>
          <w:sz w:val="18"/>
          <w:szCs w:val="18"/>
          <w:highlight w:val="none"/>
        </w:rPr>
        <w:t>注：如</w:t>
      </w:r>
      <w:r>
        <w:rPr>
          <w:rFonts w:hint="eastAsia" w:ascii="仿宋" w:hAnsi="仿宋" w:eastAsia="仿宋" w:cs="仿宋"/>
          <w:color w:val="000000"/>
          <w:spacing w:val="0"/>
          <w:w w:val="100"/>
          <w:sz w:val="18"/>
          <w:szCs w:val="18"/>
          <w:highlight w:val="none"/>
          <w:lang w:val="en-US" w:eastAsia="zh-CN"/>
        </w:rPr>
        <w:t>供应商</w:t>
      </w:r>
      <w:r>
        <w:rPr>
          <w:rFonts w:hint="eastAsia" w:ascii="仿宋" w:hAnsi="仿宋" w:eastAsia="仿宋" w:cs="仿宋"/>
          <w:color w:val="000000"/>
          <w:spacing w:val="0"/>
          <w:w w:val="100"/>
          <w:sz w:val="18"/>
          <w:szCs w:val="18"/>
          <w:highlight w:val="none"/>
        </w:rPr>
        <w:t>此表数据有虚假，不真实，一经查实，自行承担相关责任。</w:t>
      </w:r>
    </w:p>
    <w:p>
      <w:pPr>
        <w:pStyle w:val="2"/>
        <w:tabs>
          <w:tab w:val="left" w:pos="6099"/>
          <w:tab w:val="left" w:pos="9339"/>
        </w:tabs>
        <w:spacing w:before="132" w:line="480" w:lineRule="auto"/>
        <w:ind w:left="280" w:right="984"/>
        <w:rPr>
          <w:rFonts w:hint="eastAsia" w:ascii="仿宋" w:hAnsi="仿宋" w:eastAsia="仿宋" w:cs="仿宋"/>
          <w:spacing w:val="0"/>
          <w:w w:val="10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br w:type="page"/>
      </w:r>
    </w:p>
    <w:p>
      <w:pPr>
        <w:pStyle w:val="2"/>
        <w:numPr>
          <w:ilvl w:val="0"/>
          <w:numId w:val="75"/>
        </w:numPr>
        <w:ind w:left="425" w:leftChars="0" w:right="0" w:rightChars="0" w:hanging="425" w:firstLineChars="0"/>
        <w:rPr>
          <w:rStyle w:val="39"/>
          <w:rFonts w:hint="eastAsia" w:ascii="宋体" w:hAnsi="宋体" w:eastAsia="宋体" w:cs="宋体"/>
          <w:spacing w:val="0"/>
          <w:w w:val="100"/>
          <w:sz w:val="36"/>
          <w:szCs w:val="36"/>
          <w:lang w:val="en-US" w:eastAsia="zh-CN"/>
        </w:rPr>
      </w:pPr>
      <w:bookmarkStart w:id="117" w:name="_Toc29635"/>
      <w:r>
        <w:rPr>
          <w:rStyle w:val="39"/>
          <w:rFonts w:hint="eastAsia" w:ascii="宋体" w:hAnsi="宋体" w:eastAsia="宋体" w:cs="宋体"/>
          <w:spacing w:val="0"/>
          <w:w w:val="100"/>
          <w:sz w:val="36"/>
          <w:szCs w:val="36"/>
          <w:lang w:val="en-US" w:eastAsia="zh-CN"/>
        </w:rPr>
        <w:t>同类型项目业绩一览表</w:t>
      </w:r>
    </w:p>
    <w:bookmarkEnd w:id="117"/>
    <w:p>
      <w:pPr>
        <w:spacing w:line="360" w:lineRule="auto"/>
        <w:rPr>
          <w:rFonts w:hint="eastAsia" w:ascii="仿宋" w:hAnsi="仿宋" w:eastAsia="仿宋" w:cs="仿宋"/>
          <w:color w:val="000000"/>
          <w:spacing w:val="0"/>
          <w:w w:val="100"/>
          <w:sz w:val="24"/>
          <w:highlight w:val="none"/>
          <w:lang w:eastAsia="zh-CN"/>
        </w:rPr>
      </w:pPr>
    </w:p>
    <w:p>
      <w:pPr>
        <w:spacing w:line="360" w:lineRule="auto"/>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lang w:eastAsia="zh-CN"/>
        </w:rPr>
        <w:t>项目名称</w:t>
      </w:r>
      <w:r>
        <w:rPr>
          <w:rFonts w:hint="eastAsia" w:ascii="仿宋" w:hAnsi="仿宋" w:eastAsia="仿宋" w:cs="仿宋"/>
          <w:color w:val="000000"/>
          <w:spacing w:val="0"/>
          <w:w w:val="100"/>
          <w:sz w:val="24"/>
          <w:highlight w:val="none"/>
        </w:rPr>
        <w:t>：</w:t>
      </w:r>
    </w:p>
    <w:p>
      <w:pPr>
        <w:spacing w:line="360" w:lineRule="auto"/>
        <w:rPr>
          <w:rFonts w:hint="eastAsia" w:ascii="仿宋" w:hAnsi="仿宋" w:eastAsia="仿宋" w:cs="仿宋"/>
          <w:color w:val="000000"/>
          <w:spacing w:val="0"/>
          <w:w w:val="100"/>
          <w:sz w:val="24"/>
          <w:highlight w:val="none"/>
          <w:lang w:eastAsia="zh-CN"/>
        </w:rPr>
      </w:pPr>
      <w:r>
        <w:rPr>
          <w:rFonts w:hint="eastAsia" w:ascii="仿宋" w:hAnsi="仿宋" w:eastAsia="仿宋" w:cs="仿宋"/>
          <w:color w:val="000000"/>
          <w:spacing w:val="0"/>
          <w:w w:val="100"/>
          <w:sz w:val="24"/>
          <w:highlight w:val="none"/>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序号</w:t>
            </w:r>
          </w:p>
        </w:tc>
        <w:tc>
          <w:tcPr>
            <w:tcW w:w="1218" w:type="dxa"/>
            <w:noWrap w:val="0"/>
            <w:vAlign w:val="center"/>
          </w:tcPr>
          <w:p>
            <w:pPr>
              <w:pStyle w:val="13"/>
              <w:spacing w:line="320" w:lineRule="exact"/>
              <w:ind w:firstLine="0"/>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年份</w:t>
            </w:r>
          </w:p>
        </w:tc>
        <w:tc>
          <w:tcPr>
            <w:tcW w:w="3045" w:type="dxa"/>
            <w:noWrap w:val="0"/>
            <w:vAlign w:val="center"/>
          </w:tcPr>
          <w:p>
            <w:pPr>
              <w:pStyle w:val="13"/>
              <w:spacing w:line="320" w:lineRule="exact"/>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项目名称</w:t>
            </w:r>
          </w:p>
        </w:tc>
        <w:tc>
          <w:tcPr>
            <w:tcW w:w="2436" w:type="dxa"/>
            <w:noWrap w:val="0"/>
            <w:vAlign w:val="center"/>
          </w:tcPr>
          <w:p>
            <w:pPr>
              <w:pStyle w:val="13"/>
              <w:spacing w:line="320" w:lineRule="exact"/>
              <w:ind w:firstLine="0"/>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合同金额（万元）</w:t>
            </w:r>
          </w:p>
        </w:tc>
        <w:tc>
          <w:tcPr>
            <w:tcW w:w="2278" w:type="dxa"/>
            <w:noWrap w:val="0"/>
            <w:vAlign w:val="center"/>
          </w:tcPr>
          <w:p>
            <w:pPr>
              <w:pStyle w:val="13"/>
              <w:spacing w:line="320" w:lineRule="exact"/>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3"/>
              <w:spacing w:line="320" w:lineRule="exact"/>
              <w:ind w:firstLine="0"/>
              <w:jc w:val="center"/>
              <w:rPr>
                <w:rFonts w:hint="eastAsia" w:ascii="仿宋" w:hAnsi="仿宋" w:eastAsia="仿宋" w:cs="仿宋"/>
                <w:bCs/>
                <w:color w:val="000000"/>
                <w:spacing w:val="0"/>
                <w:w w:val="100"/>
                <w:highlight w:val="none"/>
              </w:rPr>
            </w:pPr>
            <w:r>
              <w:rPr>
                <w:rFonts w:hint="eastAsia" w:ascii="仿宋" w:hAnsi="仿宋" w:eastAsia="仿宋" w:cs="仿宋"/>
                <w:bCs/>
                <w:color w:val="000000"/>
                <w:spacing w:val="0"/>
                <w:w w:val="100"/>
                <w:highlight w:val="none"/>
              </w:rPr>
              <w:t>1</w:t>
            </w:r>
          </w:p>
        </w:tc>
        <w:tc>
          <w:tcPr>
            <w:tcW w:w="1218"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3045"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2436"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2278"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3"/>
              <w:spacing w:line="320" w:lineRule="exact"/>
              <w:ind w:firstLine="0"/>
              <w:jc w:val="center"/>
              <w:rPr>
                <w:rFonts w:hint="eastAsia" w:ascii="仿宋" w:hAnsi="仿宋" w:eastAsia="仿宋" w:cs="仿宋"/>
                <w:bCs/>
                <w:color w:val="000000"/>
                <w:spacing w:val="0"/>
                <w:w w:val="100"/>
                <w:highlight w:val="none"/>
              </w:rPr>
            </w:pPr>
            <w:r>
              <w:rPr>
                <w:rFonts w:hint="eastAsia" w:ascii="仿宋" w:hAnsi="仿宋" w:eastAsia="仿宋" w:cs="仿宋"/>
                <w:bCs/>
                <w:color w:val="000000"/>
                <w:spacing w:val="0"/>
                <w:w w:val="100"/>
                <w:highlight w:val="none"/>
              </w:rPr>
              <w:t>2</w:t>
            </w:r>
          </w:p>
        </w:tc>
        <w:tc>
          <w:tcPr>
            <w:tcW w:w="1218"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3045"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2436"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2278"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3"/>
              <w:spacing w:line="320" w:lineRule="exact"/>
              <w:ind w:firstLine="0"/>
              <w:jc w:val="center"/>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3</w:t>
            </w:r>
          </w:p>
        </w:tc>
        <w:tc>
          <w:tcPr>
            <w:tcW w:w="1218"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3045"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2436"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2278"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3"/>
              <w:spacing w:line="320" w:lineRule="exact"/>
              <w:ind w:firstLine="0"/>
              <w:jc w:val="center"/>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w:t>
            </w:r>
          </w:p>
        </w:tc>
        <w:tc>
          <w:tcPr>
            <w:tcW w:w="1218"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3045"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2436"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2278"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r>
    </w:tbl>
    <w:p>
      <w:pPr>
        <w:spacing w:line="360" w:lineRule="auto"/>
        <w:rPr>
          <w:rFonts w:hint="eastAsia" w:ascii="仿宋" w:hAnsi="仿宋" w:eastAsia="仿宋" w:cs="仿宋"/>
          <w:b/>
          <w:bCs/>
          <w:color w:val="000000"/>
          <w:spacing w:val="0"/>
          <w:w w:val="100"/>
          <w:szCs w:val="21"/>
          <w:highlight w:val="none"/>
        </w:rPr>
      </w:pPr>
    </w:p>
    <w:p>
      <w:pPr>
        <w:spacing w:line="360" w:lineRule="auto"/>
        <w:rPr>
          <w:rFonts w:hint="eastAsia" w:ascii="仿宋" w:hAnsi="仿宋" w:eastAsia="仿宋" w:cs="仿宋"/>
          <w:b/>
          <w:bCs/>
          <w:color w:val="000000"/>
          <w:spacing w:val="0"/>
          <w:w w:val="100"/>
          <w:szCs w:val="21"/>
          <w:highlight w:val="none"/>
          <w:lang w:eastAsia="zh-CN"/>
        </w:rPr>
      </w:pPr>
      <w:r>
        <w:rPr>
          <w:rFonts w:hint="eastAsia" w:ascii="仿宋" w:hAnsi="仿宋" w:eastAsia="仿宋" w:cs="仿宋"/>
          <w:b/>
          <w:bCs/>
          <w:color w:val="000000"/>
          <w:spacing w:val="0"/>
          <w:w w:val="100"/>
          <w:szCs w:val="21"/>
          <w:highlight w:val="none"/>
        </w:rPr>
        <w:t>注：</w:t>
      </w:r>
      <w:r>
        <w:rPr>
          <w:rFonts w:hint="eastAsia" w:ascii="仿宋" w:hAnsi="仿宋" w:eastAsia="仿宋" w:cs="仿宋"/>
          <w:b/>
          <w:bCs/>
          <w:color w:val="000000"/>
          <w:spacing w:val="0"/>
          <w:w w:val="100"/>
          <w:szCs w:val="21"/>
          <w:highlight w:val="none"/>
          <w:lang w:eastAsia="zh-CN"/>
        </w:rPr>
        <w:t>供应商</w:t>
      </w:r>
      <w:r>
        <w:rPr>
          <w:rFonts w:hint="eastAsia" w:ascii="仿宋" w:hAnsi="仿宋" w:eastAsia="仿宋" w:cs="仿宋"/>
          <w:b/>
          <w:bCs/>
          <w:color w:val="000000"/>
          <w:spacing w:val="0"/>
          <w:w w:val="100"/>
          <w:szCs w:val="21"/>
          <w:highlight w:val="none"/>
        </w:rPr>
        <w:t>必须附</w:t>
      </w:r>
      <w:r>
        <w:rPr>
          <w:rFonts w:hint="eastAsia" w:ascii="仿宋" w:hAnsi="仿宋" w:eastAsia="仿宋" w:cs="仿宋"/>
          <w:b/>
          <w:bCs/>
          <w:color w:val="000000"/>
          <w:spacing w:val="0"/>
          <w:w w:val="100"/>
          <w:szCs w:val="21"/>
          <w:highlight w:val="none"/>
          <w:lang w:eastAsia="zh-CN"/>
        </w:rPr>
        <w:t>上</w:t>
      </w:r>
      <w:r>
        <w:rPr>
          <w:rFonts w:hint="eastAsia" w:ascii="仿宋" w:hAnsi="仿宋" w:eastAsia="仿宋" w:cs="仿宋"/>
          <w:b/>
          <w:bCs/>
          <w:color w:val="000000"/>
          <w:spacing w:val="0"/>
          <w:w w:val="100"/>
          <w:szCs w:val="21"/>
          <w:highlight w:val="none"/>
          <w:lang w:val="en-US" w:eastAsia="zh-CN"/>
        </w:rPr>
        <w:t>表格中</w:t>
      </w:r>
      <w:r>
        <w:rPr>
          <w:rFonts w:hint="eastAsia" w:ascii="仿宋" w:hAnsi="仿宋" w:eastAsia="仿宋" w:cs="仿宋"/>
          <w:b/>
          <w:bCs/>
          <w:color w:val="000000"/>
          <w:spacing w:val="0"/>
          <w:w w:val="100"/>
          <w:szCs w:val="21"/>
          <w:highlight w:val="none"/>
          <w:lang w:eastAsia="zh-CN"/>
        </w:rPr>
        <w:t>项目</w:t>
      </w:r>
      <w:r>
        <w:rPr>
          <w:rFonts w:hint="eastAsia" w:ascii="仿宋" w:hAnsi="仿宋" w:eastAsia="仿宋" w:cs="仿宋"/>
          <w:b/>
          <w:bCs/>
          <w:color w:val="000000"/>
          <w:spacing w:val="0"/>
          <w:w w:val="100"/>
          <w:szCs w:val="21"/>
          <w:highlight w:val="none"/>
          <w:lang w:val="en-US" w:eastAsia="zh-CN"/>
        </w:rPr>
        <w:t>的</w:t>
      </w:r>
      <w:r>
        <w:rPr>
          <w:rFonts w:hint="eastAsia" w:ascii="仿宋" w:hAnsi="仿宋" w:eastAsia="仿宋" w:cs="仿宋"/>
          <w:b/>
          <w:bCs/>
          <w:color w:val="000000"/>
          <w:spacing w:val="0"/>
          <w:w w:val="100"/>
          <w:szCs w:val="21"/>
          <w:highlight w:val="none"/>
        </w:rPr>
        <w:t>合同复印件加盖响应供应商公章</w:t>
      </w:r>
      <w:r>
        <w:rPr>
          <w:rFonts w:hint="eastAsia" w:ascii="仿宋" w:hAnsi="仿宋" w:eastAsia="仿宋" w:cs="仿宋"/>
          <w:b/>
          <w:bCs/>
          <w:color w:val="000000"/>
          <w:spacing w:val="0"/>
          <w:w w:val="100"/>
          <w:szCs w:val="21"/>
          <w:highlight w:val="none"/>
          <w:lang w:eastAsia="zh-CN"/>
        </w:rPr>
        <w:t>（以</w:t>
      </w:r>
      <w:r>
        <w:rPr>
          <w:rFonts w:hint="eastAsia" w:ascii="仿宋" w:hAnsi="仿宋" w:eastAsia="仿宋" w:cs="仿宋"/>
          <w:b/>
          <w:bCs/>
          <w:color w:val="000000"/>
          <w:spacing w:val="0"/>
          <w:w w:val="100"/>
          <w:szCs w:val="21"/>
          <w:highlight w:val="none"/>
          <w:lang w:val="en-US" w:eastAsia="zh-CN"/>
        </w:rPr>
        <w:t>评分资料要求为准</w:t>
      </w:r>
      <w:r>
        <w:rPr>
          <w:rFonts w:hint="eastAsia" w:ascii="仿宋" w:hAnsi="仿宋" w:eastAsia="仿宋" w:cs="仿宋"/>
          <w:b/>
          <w:bCs/>
          <w:color w:val="000000"/>
          <w:spacing w:val="0"/>
          <w:w w:val="100"/>
          <w:szCs w:val="21"/>
          <w:highlight w:val="none"/>
          <w:lang w:eastAsia="zh-CN"/>
        </w:rPr>
        <w:t>）</w:t>
      </w:r>
    </w:p>
    <w:p>
      <w:pPr>
        <w:spacing w:line="360" w:lineRule="auto"/>
        <w:rPr>
          <w:rFonts w:hint="eastAsia" w:ascii="仿宋" w:hAnsi="仿宋" w:eastAsia="仿宋" w:cs="仿宋"/>
          <w:b/>
          <w:bCs/>
          <w:color w:val="000000"/>
          <w:spacing w:val="0"/>
          <w:w w:val="100"/>
          <w:sz w:val="24"/>
          <w:highlight w:val="none"/>
        </w:rPr>
      </w:pPr>
    </w:p>
    <w:p>
      <w:pPr>
        <w:pStyle w:val="2"/>
        <w:tabs>
          <w:tab w:val="left" w:pos="6099"/>
          <w:tab w:val="left" w:pos="9339"/>
        </w:tabs>
        <w:spacing w:before="132"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4"/>
        <w:keepNext w:val="0"/>
        <w:keepLines w:val="0"/>
        <w:pageBreakBefore w:val="0"/>
        <w:widowControl w:val="0"/>
        <w:numPr>
          <w:ilvl w:val="0"/>
          <w:numId w:val="76"/>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9"/>
          <w:rFonts w:hint="eastAsia" w:ascii="仿宋" w:hAnsi="仿宋" w:eastAsia="仿宋" w:cs="仿宋"/>
          <w:b/>
          <w:bCs w:val="0"/>
          <w:spacing w:val="0"/>
          <w:w w:val="100"/>
          <w:kern w:val="2"/>
          <w:szCs w:val="20"/>
          <w:lang w:eastAsia="zh-CN" w:bidi="ar-SA"/>
        </w:rPr>
      </w:pPr>
      <w:bookmarkStart w:id="118" w:name="_Toc26057"/>
      <w:bookmarkStart w:id="119" w:name="_Toc7010"/>
      <w:r>
        <w:rPr>
          <w:rStyle w:val="39"/>
          <w:rFonts w:hint="eastAsia" w:ascii="宋体" w:hAnsi="宋体" w:eastAsia="宋体" w:cs="宋体"/>
          <w:b/>
          <w:bCs/>
          <w:spacing w:val="0"/>
          <w:w w:val="100"/>
          <w:sz w:val="36"/>
          <w:szCs w:val="36"/>
          <w:lang w:val="en-US" w:eastAsia="zh-CN"/>
        </w:rPr>
        <w:t>供应商认为需要提交的其他资料</w:t>
      </w:r>
      <w:bookmarkEnd w:id="118"/>
      <w:bookmarkEnd w:id="119"/>
    </w:p>
    <w:p>
      <w:pPr>
        <w:pStyle w:val="2"/>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w w:val="100"/>
          <w:sz w:val="21"/>
          <w:szCs w:val="21"/>
        </w:rPr>
      </w:pPr>
      <w:bookmarkStart w:id="120" w:name="_Toc15368"/>
      <w:bookmarkStart w:id="121" w:name="_Toc8942"/>
      <w:r>
        <w:rPr>
          <w:rFonts w:hint="eastAsia" w:ascii="仿宋" w:hAnsi="仿宋" w:eastAsia="仿宋" w:cs="仿宋"/>
          <w:spacing w:val="0"/>
          <w:w w:val="100"/>
          <w:sz w:val="21"/>
          <w:szCs w:val="21"/>
        </w:rPr>
        <w:t>（请扼要叙述）</w:t>
      </w:r>
      <w:bookmarkEnd w:id="120"/>
      <w:bookmarkEnd w:id="121"/>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1、除上述资料外，</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要求提供的其它相关证明材料。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2、供应商认为有必要提供的其他材料。</w:t>
      </w: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spacing w:line="480" w:lineRule="exact"/>
        <w:rPr>
          <w:rFonts w:hint="eastAsia" w:ascii="仿宋" w:hAnsi="仿宋" w:eastAsia="仿宋" w:cs="仿宋"/>
          <w:b/>
          <w:color w:val="000000"/>
          <w:spacing w:val="0"/>
          <w:w w:val="100"/>
          <w:sz w:val="28"/>
          <w:szCs w:val="28"/>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3"/>
        <w:ind w:left="1268"/>
        <w:jc w:val="center"/>
        <w:outlineLvl w:val="0"/>
        <w:rPr>
          <w:rFonts w:hint="eastAsia" w:ascii="宋体" w:hAnsi="宋体" w:eastAsia="宋体" w:cs="宋体"/>
          <w:spacing w:val="0"/>
          <w:w w:val="100"/>
        </w:rPr>
      </w:pPr>
      <w:bookmarkStart w:id="122" w:name="_Toc21251"/>
      <w:bookmarkStart w:id="123" w:name="_Toc12228"/>
      <w:r>
        <w:rPr>
          <w:rFonts w:ascii="宋体" w:hAnsi="宋体" w:eastAsia="宋体" w:cs="宋体"/>
          <w:spacing w:val="0"/>
          <w:w w:val="100"/>
        </w:rPr>
        <w:t>五、技术部分</w:t>
      </w:r>
      <w:bookmarkEnd w:id="122"/>
      <w:bookmarkEnd w:id="123"/>
    </w:p>
    <w:p>
      <w:pPr>
        <w:rPr>
          <w:rFonts w:hint="default"/>
          <w:lang w:val="en-US" w:eastAsia="zh-CN"/>
        </w:rPr>
      </w:pPr>
      <w:r>
        <w:rPr>
          <w:rFonts w:hint="default"/>
          <w:lang w:val="en-US" w:eastAsia="zh-CN"/>
        </w:rPr>
        <w:br w:type="page"/>
      </w:r>
    </w:p>
    <w:p>
      <w:pPr>
        <w:numPr>
          <w:ilvl w:val="0"/>
          <w:numId w:val="77"/>
        </w:numPr>
        <w:ind w:left="425" w:leftChars="0" w:hanging="425" w:firstLineChars="0"/>
        <w:rPr>
          <w:rFonts w:hint="eastAsia" w:ascii="宋体" w:hAnsi="宋体" w:eastAsia="宋体" w:cs="宋体"/>
          <w:spacing w:val="0"/>
          <w:w w:val="100"/>
          <w:sz w:val="36"/>
          <w:szCs w:val="36"/>
        </w:rPr>
      </w:pPr>
      <w:r>
        <w:rPr>
          <w:rFonts w:hint="eastAsia" w:ascii="宋体" w:hAnsi="宋体" w:eastAsia="宋体" w:cs="宋体"/>
          <w:spacing w:val="0"/>
          <w:w w:val="100"/>
          <w:sz w:val="36"/>
          <w:szCs w:val="36"/>
          <w:lang w:val="en-US" w:eastAsia="zh-CN"/>
        </w:rPr>
        <w:t>技术要求响应表</w:t>
      </w:r>
    </w:p>
    <w:p>
      <w:pPr>
        <w:pStyle w:val="4"/>
        <w:keepNext w:val="0"/>
        <w:keepLines w:val="0"/>
        <w:pageBreakBefore w:val="0"/>
        <w:widowControl w:val="0"/>
        <w:numPr>
          <w:ilvl w:val="0"/>
          <w:numId w:val="78"/>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w w:val="100"/>
          <w:sz w:val="44"/>
          <w:szCs w:val="44"/>
        </w:rPr>
      </w:pPr>
      <w:bookmarkStart w:id="124" w:name="_Toc26825"/>
      <w:r>
        <w:rPr>
          <w:rFonts w:hint="eastAsia" w:ascii="仿宋" w:hAnsi="仿宋" w:eastAsia="仿宋" w:cs="仿宋"/>
          <w:spacing w:val="0"/>
          <w:w w:val="100"/>
          <w:sz w:val="44"/>
          <w:szCs w:val="44"/>
          <w:lang w:val="en-US" w:eastAsia="zh-CN"/>
        </w:rPr>
        <w:t>实质性</w:t>
      </w:r>
      <w:r>
        <w:rPr>
          <w:rFonts w:hint="eastAsia" w:ascii="仿宋" w:hAnsi="仿宋" w:eastAsia="仿宋" w:cs="仿宋"/>
          <w:spacing w:val="0"/>
          <w:w w:val="100"/>
          <w:sz w:val="44"/>
          <w:szCs w:val="44"/>
        </w:rPr>
        <w:t>技术要求</w:t>
      </w:r>
      <w:r>
        <w:rPr>
          <w:rFonts w:hint="eastAsia" w:ascii="仿宋" w:hAnsi="仿宋" w:eastAsia="仿宋" w:cs="仿宋"/>
          <w:spacing w:val="0"/>
          <w:w w:val="100"/>
          <w:sz w:val="44"/>
          <w:szCs w:val="44"/>
          <w:lang w:val="en-US" w:eastAsia="zh-CN"/>
        </w:rPr>
        <w:t>(“★”条款)</w:t>
      </w:r>
      <w:r>
        <w:rPr>
          <w:rFonts w:hint="eastAsia" w:ascii="仿宋" w:hAnsi="仿宋" w:eastAsia="仿宋" w:cs="仿宋"/>
          <w:spacing w:val="0"/>
          <w:w w:val="100"/>
          <w:sz w:val="44"/>
          <w:szCs w:val="44"/>
        </w:rPr>
        <w:t>响应表格式</w:t>
      </w:r>
      <w:bookmarkEnd w:id="124"/>
    </w:p>
    <w:p>
      <w:pPr>
        <w:snapToGrid w:val="0"/>
        <w:spacing w:line="360" w:lineRule="auto"/>
        <w:jc w:val="center"/>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pStyle w:val="2"/>
        <w:rPr>
          <w:rFonts w:hint="eastAsia" w:ascii="仿宋" w:hAnsi="仿宋" w:eastAsia="仿宋" w:cs="仿宋"/>
          <w:b/>
          <w:spacing w:val="0"/>
          <w:w w:val="100"/>
          <w:sz w:val="21"/>
          <w:szCs w:val="21"/>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lang w:val="en-US" w:eastAsia="zh-CN"/>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bl>
    <w:p>
      <w:pPr>
        <w:pStyle w:val="2"/>
        <w:rPr>
          <w:rFonts w:hint="eastAsia" w:ascii="仿宋" w:hAnsi="仿宋" w:eastAsia="仿宋" w:cs="仿宋"/>
          <w:b/>
          <w:spacing w:val="0"/>
          <w:w w:val="100"/>
          <w:sz w:val="21"/>
          <w:szCs w:val="21"/>
        </w:rPr>
      </w:pPr>
    </w:p>
    <w:p>
      <w:pPr>
        <w:pStyle w:val="2"/>
        <w:spacing w:before="1"/>
        <w:rPr>
          <w:rFonts w:hint="eastAsia" w:ascii="仿宋" w:hAnsi="仿宋" w:eastAsia="仿宋" w:cs="仿宋"/>
          <w:b/>
          <w:spacing w:val="0"/>
          <w:w w:val="100"/>
          <w:sz w:val="21"/>
          <w:szCs w:val="21"/>
        </w:rPr>
      </w:pPr>
    </w:p>
    <w:p>
      <w:pPr>
        <w:spacing w:before="2"/>
        <w:ind w:left="448" w:right="0" w:firstLine="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bidi w:val="0"/>
        <w:spacing w:line="360" w:lineRule="auto"/>
        <w:ind w:firstLine="420" w:firstLineChars="200"/>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技术标准与要求</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lang w:val="en-US" w:eastAsia="zh-CN" w:bidi="zh-CN"/>
        </w:rPr>
        <w:t>中</w:t>
      </w:r>
      <w:r>
        <w:rPr>
          <w:rFonts w:hint="eastAsia" w:ascii="仿宋" w:hAnsi="仿宋" w:eastAsia="仿宋" w:cs="仿宋"/>
          <w:spacing w:val="0"/>
          <w:w w:val="10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w w:val="100"/>
          <w:sz w:val="21"/>
          <w:szCs w:val="21"/>
          <w:lang w:val="en-US" w:eastAsia="zh-CN" w:bidi="zh-CN"/>
        </w:rPr>
        <w:t>响应</w:t>
      </w:r>
      <w:r>
        <w:rPr>
          <w:rFonts w:hint="eastAsia" w:ascii="仿宋" w:hAnsi="仿宋" w:eastAsia="仿宋" w:cs="仿宋"/>
          <w:spacing w:val="0"/>
          <w:w w:val="100"/>
          <w:sz w:val="21"/>
          <w:szCs w:val="21"/>
          <w:lang w:val="zh-CN" w:eastAsia="zh-CN" w:bidi="zh-CN"/>
        </w:rPr>
        <w:t>无效。</w:t>
      </w:r>
    </w:p>
    <w:p>
      <w:pPr>
        <w:pStyle w:val="2"/>
        <w:spacing w:before="4" w:line="360" w:lineRule="auto"/>
        <w:ind w:right="343" w:firstLine="420" w:firstLineChars="2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2"/>
        <w:spacing w:before="3" w:line="360" w:lineRule="auto"/>
        <w:ind w:firstLine="420" w:firstLineChars="2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2"/>
        <w:tabs>
          <w:tab w:val="left" w:pos="6099"/>
          <w:tab w:val="left" w:pos="9339"/>
        </w:tabs>
        <w:spacing w:line="362" w:lineRule="auto"/>
        <w:ind w:left="280" w:right="984"/>
        <w:rPr>
          <w:rFonts w:hint="eastAsia" w:ascii="仿宋" w:hAnsi="仿宋" w:eastAsia="仿宋" w:cs="仿宋"/>
          <w:spacing w:val="0"/>
          <w:w w:val="100"/>
          <w:sz w:val="21"/>
          <w:szCs w:val="21"/>
          <w:lang w:eastAsia="zh-CN"/>
        </w:rPr>
      </w:pPr>
    </w:p>
    <w:p>
      <w:pPr>
        <w:pStyle w:val="2"/>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lang w:val="en-US" w:eastAsia="zh-CN"/>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4"/>
        <w:keepNext w:val="0"/>
        <w:keepLines w:val="0"/>
        <w:pageBreakBefore w:val="0"/>
        <w:widowControl w:val="0"/>
        <w:numPr>
          <w:ilvl w:val="0"/>
          <w:numId w:val="78"/>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w w:val="100"/>
          <w:lang w:val="en-US" w:eastAsia="zh-CN"/>
        </w:rPr>
      </w:pPr>
      <w:bookmarkStart w:id="125" w:name="_Toc1750"/>
      <w:r>
        <w:rPr>
          <w:rFonts w:hint="eastAsia" w:ascii="仿宋" w:hAnsi="仿宋" w:eastAsia="仿宋" w:cs="仿宋"/>
          <w:spacing w:val="0"/>
          <w:w w:val="100"/>
          <w:lang w:val="en-US" w:eastAsia="zh-CN"/>
        </w:rPr>
        <w:t>重要技术要求(“▲”条款)响应表格式</w:t>
      </w:r>
      <w:bookmarkEnd w:id="125"/>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rPr>
          <w:rFonts w:hint="eastAsia" w:ascii="仿宋" w:hAnsi="仿宋" w:eastAsia="仿宋" w:cs="仿宋"/>
          <w:spacing w:val="0"/>
          <w:w w:val="100"/>
          <w:sz w:val="21"/>
          <w:szCs w:val="21"/>
        </w:rPr>
      </w:pPr>
    </w:p>
    <w:p>
      <w:pPr>
        <w:rPr>
          <w:rFonts w:hint="eastAsia" w:ascii="仿宋" w:hAnsi="仿宋" w:eastAsia="仿宋" w:cs="仿宋"/>
          <w:spacing w:val="0"/>
          <w:w w:val="100"/>
          <w:sz w:val="21"/>
          <w:szCs w:val="21"/>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w w:val="100"/>
                <w:sz w:val="21"/>
                <w:szCs w:val="21"/>
              </w:rPr>
            </w:pPr>
          </w:p>
        </w:tc>
      </w:tr>
    </w:tbl>
    <w:p>
      <w:pPr>
        <w:pStyle w:val="2"/>
        <w:rPr>
          <w:rFonts w:hint="eastAsia" w:ascii="仿宋" w:hAnsi="仿宋" w:eastAsia="仿宋" w:cs="仿宋"/>
          <w:b/>
          <w:spacing w:val="0"/>
          <w:w w:val="100"/>
          <w:sz w:val="21"/>
          <w:szCs w:val="21"/>
        </w:rPr>
      </w:pPr>
    </w:p>
    <w:p>
      <w:pPr>
        <w:pStyle w:val="2"/>
        <w:spacing w:before="1"/>
        <w:rPr>
          <w:rFonts w:hint="eastAsia" w:ascii="仿宋" w:hAnsi="仿宋" w:eastAsia="仿宋" w:cs="仿宋"/>
          <w:b/>
          <w:spacing w:val="0"/>
          <w:w w:val="100"/>
          <w:sz w:val="21"/>
          <w:szCs w:val="21"/>
        </w:rPr>
      </w:pPr>
    </w:p>
    <w:p>
      <w:pPr>
        <w:spacing w:before="1" w:line="360" w:lineRule="auto"/>
        <w:ind w:right="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技术标准与要求</w:t>
      </w:r>
      <w:r>
        <w:rPr>
          <w:rFonts w:hint="eastAsia" w:ascii="仿宋" w:hAnsi="仿宋" w:eastAsia="仿宋" w:cs="仿宋"/>
          <w:spacing w:val="0"/>
          <w:w w:val="100"/>
          <w:sz w:val="21"/>
          <w:szCs w:val="21"/>
          <w:lang w:val="zh-CN" w:eastAsia="zh-CN" w:bidi="zh-CN"/>
        </w:rPr>
        <w:t>”中带“▲”的条款逐条响应，</w:t>
      </w:r>
      <w:r>
        <w:rPr>
          <w:rFonts w:hint="eastAsia" w:ascii="仿宋" w:hAnsi="仿宋" w:eastAsia="仿宋" w:cs="仿宋"/>
          <w:spacing w:val="0"/>
          <w:w w:val="100"/>
          <w:sz w:val="21"/>
          <w:szCs w:val="21"/>
          <w:lang w:val="en-US" w:eastAsia="zh-CN" w:bidi="zh-CN"/>
        </w:rPr>
        <w:t>带</w:t>
      </w:r>
      <w:r>
        <w:rPr>
          <w:rFonts w:hint="eastAsia" w:ascii="仿宋" w:hAnsi="仿宋" w:eastAsia="仿宋" w:cs="仿宋"/>
          <w:spacing w:val="0"/>
          <w:w w:val="100"/>
          <w:sz w:val="21"/>
          <w:szCs w:val="21"/>
          <w:lang w:val="zh-CN" w:eastAsia="zh-CN" w:bidi="zh-CN"/>
        </w:rPr>
        <w:t>“▲”的条款为重要性要求</w:t>
      </w:r>
      <w:r>
        <w:rPr>
          <w:rFonts w:hint="eastAsia" w:ascii="仿宋" w:hAnsi="仿宋" w:eastAsia="仿宋" w:cs="仿宋"/>
          <w:spacing w:val="0"/>
          <w:w w:val="100"/>
          <w:sz w:val="21"/>
          <w:szCs w:val="21"/>
          <w:lang w:val="en-US" w:eastAsia="zh-CN" w:bidi="zh-CN"/>
        </w:rPr>
        <w:t>,</w:t>
      </w:r>
      <w:r>
        <w:rPr>
          <w:rFonts w:hint="eastAsia" w:ascii="仿宋" w:hAnsi="仿宋" w:eastAsia="仿宋" w:cs="仿宋"/>
          <w:spacing w:val="0"/>
          <w:w w:val="100"/>
          <w:sz w:val="21"/>
          <w:szCs w:val="21"/>
          <w:lang w:val="zh-CN" w:eastAsia="zh-CN" w:bidi="zh-CN"/>
        </w:rPr>
        <w:t>未响应或负偏离</w:t>
      </w:r>
      <w:r>
        <w:rPr>
          <w:rFonts w:hint="eastAsia" w:ascii="仿宋" w:hAnsi="仿宋" w:eastAsia="仿宋" w:cs="仿宋"/>
          <w:spacing w:val="0"/>
          <w:w w:val="100"/>
          <w:sz w:val="21"/>
          <w:szCs w:val="21"/>
          <w:lang w:val="en-US" w:eastAsia="zh-CN" w:bidi="zh-CN"/>
        </w:rPr>
        <w:t>将影响对供应商的评审</w:t>
      </w:r>
      <w:r>
        <w:rPr>
          <w:rFonts w:hint="eastAsia" w:ascii="仿宋" w:hAnsi="仿宋" w:eastAsia="仿宋" w:cs="仿宋"/>
          <w:spacing w:val="0"/>
          <w:w w:val="10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2"/>
        <w:spacing w:before="6" w:line="360" w:lineRule="auto"/>
        <w:rPr>
          <w:rFonts w:hint="eastAsia" w:ascii="仿宋" w:hAnsi="仿宋" w:eastAsia="仿宋" w:cs="仿宋"/>
          <w:spacing w:val="0"/>
          <w:w w:val="100"/>
          <w:sz w:val="21"/>
          <w:szCs w:val="21"/>
        </w:rPr>
      </w:pPr>
    </w:p>
    <w:p>
      <w:pPr>
        <w:pStyle w:val="2"/>
        <w:spacing w:line="360" w:lineRule="auto"/>
        <w:rPr>
          <w:rFonts w:hint="eastAsia" w:ascii="仿宋" w:hAnsi="仿宋" w:eastAsia="仿宋" w:cs="仿宋"/>
          <w:spacing w:val="0"/>
          <w:w w:val="100"/>
          <w:sz w:val="21"/>
          <w:szCs w:val="21"/>
        </w:rPr>
      </w:pPr>
    </w:p>
    <w:p>
      <w:pPr>
        <w:pStyle w:val="2"/>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4"/>
        <w:keepNext w:val="0"/>
        <w:keepLines w:val="0"/>
        <w:pageBreakBefore w:val="0"/>
        <w:widowControl w:val="0"/>
        <w:numPr>
          <w:ilvl w:val="0"/>
          <w:numId w:val="78"/>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w w:val="100"/>
          <w:lang w:val="en-US" w:eastAsia="zh-CN"/>
        </w:rPr>
      </w:pPr>
      <w:bookmarkStart w:id="126" w:name="_Toc23106"/>
      <w:r>
        <w:rPr>
          <w:rFonts w:hint="eastAsia" w:ascii="仿宋" w:hAnsi="仿宋" w:eastAsia="仿宋" w:cs="仿宋"/>
          <w:spacing w:val="0"/>
          <w:w w:val="100"/>
          <w:lang w:val="en-US" w:eastAsia="zh-CN"/>
        </w:rPr>
        <w:t>一般技术要求(非“★”、“▲”条款)响应表</w:t>
      </w:r>
      <w:bookmarkEnd w:id="126"/>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rPr>
          <w:rFonts w:hint="eastAsia" w:ascii="仿宋" w:hAnsi="仿宋" w:eastAsia="仿宋" w:cs="仿宋"/>
          <w:spacing w:val="0"/>
          <w:w w:val="100"/>
          <w:sz w:val="21"/>
          <w:szCs w:val="21"/>
          <w:lang w:val="en-US" w:eastAsia="zh-CN"/>
        </w:rPr>
      </w:pPr>
    </w:p>
    <w:p>
      <w:pPr>
        <w:rPr>
          <w:rFonts w:hint="eastAsia" w:ascii="仿宋" w:hAnsi="仿宋" w:eastAsia="仿宋" w:cs="仿宋"/>
          <w:spacing w:val="0"/>
          <w:w w:val="100"/>
          <w:sz w:val="21"/>
          <w:szCs w:val="21"/>
          <w:lang w:val="en-US" w:eastAsia="zh-CN"/>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798"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hanging="482" w:hangingChars="200"/>
              <w:textAlignment w:val="auto"/>
              <w:rPr>
                <w:rFonts w:hint="eastAsia" w:ascii="仿宋" w:hAnsi="仿宋" w:eastAsia="仿宋" w:cs="仿宋"/>
                <w:spacing w:val="0"/>
                <w:w w:val="100"/>
                <w:sz w:val="21"/>
                <w:szCs w:val="21"/>
              </w:rPr>
            </w:pPr>
            <w:r>
              <w:rPr>
                <w:rFonts w:hint="eastAsia" w:cs="宋体"/>
                <w:b/>
                <w:bCs/>
                <w:spacing w:val="0"/>
                <w:kern w:val="0"/>
                <w:sz w:val="24"/>
                <w:szCs w:val="24"/>
                <w:lang w:val="en-US" w:eastAsia="zh-CN" w:bidi="zh-CN"/>
              </w:rPr>
              <w:t>（一）</w:t>
            </w:r>
            <w:r>
              <w:rPr>
                <w:rFonts w:hint="eastAsia" w:ascii="宋体" w:hAnsi="宋体" w:eastAsia="宋体" w:cs="宋体"/>
                <w:b/>
                <w:bCs/>
                <w:spacing w:val="0"/>
                <w:kern w:val="0"/>
                <w:sz w:val="24"/>
                <w:szCs w:val="24"/>
                <w:lang w:val="en-US" w:eastAsia="zh-CN" w:bidi="zh-CN"/>
              </w:rPr>
              <w:t>设备主要功能参数</w:t>
            </w: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hanging="482" w:hangingChars="200"/>
              <w:textAlignment w:val="auto"/>
              <w:rPr>
                <w:rFonts w:hint="eastAsia" w:ascii="仿宋" w:hAnsi="仿宋" w:eastAsia="仿宋" w:cs="仿宋"/>
                <w:spacing w:val="0"/>
                <w:w w:val="100"/>
                <w:sz w:val="21"/>
                <w:szCs w:val="21"/>
              </w:rPr>
            </w:pPr>
            <w:r>
              <w:rPr>
                <w:rFonts w:hint="eastAsia" w:cs="宋体"/>
                <w:b/>
                <w:bCs/>
                <w:spacing w:val="0"/>
                <w:kern w:val="0"/>
                <w:sz w:val="24"/>
                <w:szCs w:val="24"/>
                <w:lang w:val="en-US" w:eastAsia="zh-CN" w:bidi="zh-CN"/>
              </w:rPr>
              <w:t>（二）</w:t>
            </w:r>
            <w:r>
              <w:rPr>
                <w:rFonts w:hint="eastAsia" w:ascii="宋体" w:hAnsi="宋体" w:eastAsia="宋体" w:cs="宋体"/>
                <w:b/>
                <w:bCs/>
                <w:spacing w:val="0"/>
                <w:kern w:val="0"/>
                <w:sz w:val="24"/>
                <w:szCs w:val="24"/>
                <w:lang w:val="en-US" w:eastAsia="zh-CN" w:bidi="zh-CN"/>
              </w:rPr>
              <w:t>技术要求</w:t>
            </w: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w w:val="100"/>
                <w:sz w:val="21"/>
                <w:szCs w:val="21"/>
              </w:rPr>
            </w:pPr>
          </w:p>
        </w:tc>
      </w:tr>
    </w:tbl>
    <w:p>
      <w:pPr>
        <w:spacing w:before="1" w:line="360" w:lineRule="auto"/>
        <w:ind w:right="0"/>
        <w:jc w:val="left"/>
        <w:rPr>
          <w:rFonts w:hint="eastAsia" w:ascii="仿宋" w:hAnsi="仿宋" w:eastAsia="仿宋" w:cs="仿宋"/>
          <w:spacing w:val="0"/>
          <w:w w:val="100"/>
          <w:sz w:val="21"/>
          <w:szCs w:val="21"/>
        </w:rPr>
      </w:pPr>
    </w:p>
    <w:p>
      <w:pPr>
        <w:spacing w:before="1" w:line="360" w:lineRule="auto"/>
        <w:ind w:right="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2"/>
        <w:keepNext w:val="0"/>
        <w:keepLines w:val="0"/>
        <w:pageBreakBefore w:val="0"/>
        <w:widowControl w:val="0"/>
        <w:numPr>
          <w:ilvl w:val="0"/>
          <w:numId w:val="79"/>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lang w:eastAsia="zh-CN"/>
        </w:rPr>
        <w:t>供应商应根据实际情况对谈判文件</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技术标准与要求</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lang w:eastAsia="zh-CN"/>
        </w:rPr>
        <w:t>中</w:t>
      </w:r>
      <w:r>
        <w:rPr>
          <w:rFonts w:hint="eastAsia" w:ascii="仿宋" w:hAnsi="仿宋" w:eastAsia="仿宋" w:cs="仿宋"/>
          <w:spacing w:val="0"/>
          <w:w w:val="100"/>
          <w:sz w:val="21"/>
          <w:szCs w:val="21"/>
          <w:lang w:val="en-US" w:eastAsia="zh-CN" w:bidi="zh-CN"/>
        </w:rPr>
        <w:t>的</w:t>
      </w:r>
      <w:r>
        <w:rPr>
          <w:rFonts w:hint="eastAsia" w:ascii="仿宋" w:hAnsi="仿宋" w:eastAsia="仿宋" w:cs="仿宋"/>
          <w:spacing w:val="0"/>
          <w:w w:val="100"/>
          <w:sz w:val="21"/>
          <w:szCs w:val="21"/>
          <w:lang w:val="en-US" w:eastAsia="zh-CN"/>
        </w:rPr>
        <w:t>一般技术要求(非“★”、“▲”条款)</w:t>
      </w:r>
      <w:r>
        <w:rPr>
          <w:rFonts w:hint="eastAsia" w:ascii="仿宋" w:hAnsi="仿宋" w:eastAsia="仿宋" w:cs="仿宋"/>
          <w:spacing w:val="0"/>
          <w:w w:val="100"/>
          <w:sz w:val="21"/>
          <w:szCs w:val="21"/>
        </w:rPr>
        <w:t>逐条响应并作出是否偏离说明。如有缺漏，缺漏项视同不符合要求</w:t>
      </w:r>
      <w:r>
        <w:rPr>
          <w:rFonts w:hint="eastAsia" w:ascii="仿宋" w:hAnsi="仿宋" w:eastAsia="仿宋" w:cs="仿宋"/>
          <w:spacing w:val="0"/>
          <w:w w:val="100"/>
          <w:sz w:val="21"/>
          <w:szCs w:val="21"/>
          <w:lang w:val="en-US" w:eastAsia="zh-CN"/>
        </w:rPr>
        <w:t>将影响对供应商的评审</w:t>
      </w:r>
      <w:r>
        <w:rPr>
          <w:rFonts w:hint="eastAsia" w:ascii="仿宋" w:hAnsi="仿宋" w:eastAsia="仿宋" w:cs="仿宋"/>
          <w:spacing w:val="0"/>
          <w:w w:val="100"/>
          <w:sz w:val="21"/>
          <w:szCs w:val="21"/>
        </w:rPr>
        <w:t>。</w:t>
      </w:r>
    </w:p>
    <w:p>
      <w:pPr>
        <w:pStyle w:val="2"/>
        <w:keepNext w:val="0"/>
        <w:keepLines w:val="0"/>
        <w:pageBreakBefore w:val="0"/>
        <w:widowControl w:val="0"/>
        <w:numPr>
          <w:ilvl w:val="0"/>
          <w:numId w:val="79"/>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对于上述要求，如供应商完全响应（或优于），则在“是否响应”栏内打“√”，对空白或打“×”视为负偏离，并请在“偏离说明”栏内扼要说明偏离情况。</w:t>
      </w:r>
    </w:p>
    <w:p>
      <w:pPr>
        <w:pStyle w:val="2"/>
        <w:keepNext w:val="0"/>
        <w:keepLines w:val="0"/>
        <w:pageBreakBefore w:val="0"/>
        <w:widowControl w:val="0"/>
        <w:numPr>
          <w:ilvl w:val="0"/>
          <w:numId w:val="79"/>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供应商响应采购需求应具体、明确，含糊不清、不确切或伪造、变造证明材料的，按照不完全响应或者完全不响应处理。构成提供虚假材料的，移送监管部门查处。</w:t>
      </w:r>
    </w:p>
    <w:p>
      <w:pPr>
        <w:pStyle w:val="2"/>
        <w:keepNext w:val="0"/>
        <w:keepLines w:val="0"/>
        <w:pageBreakBefore w:val="0"/>
        <w:widowControl w:val="0"/>
        <w:numPr>
          <w:ilvl w:val="0"/>
          <w:numId w:val="79"/>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本表内容不得擅自修改。</w:t>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w w:val="100"/>
          <w:sz w:val="21"/>
          <w:szCs w:val="21"/>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numPr>
          <w:ilvl w:val="0"/>
          <w:numId w:val="77"/>
        </w:numPr>
        <w:ind w:left="425" w:leftChars="0" w:hanging="425" w:firstLineChars="0"/>
        <w:rPr>
          <w:rFonts w:hint="eastAsia" w:ascii="宋体" w:hAnsi="宋体" w:eastAsia="宋体" w:cs="宋体"/>
          <w:spacing w:val="0"/>
          <w:w w:val="100"/>
          <w:sz w:val="36"/>
          <w:szCs w:val="36"/>
          <w:lang w:val="en-US" w:eastAsia="zh-CN"/>
        </w:rPr>
      </w:pPr>
      <w:bookmarkStart w:id="127" w:name="_Toc26030"/>
      <w:r>
        <w:rPr>
          <w:rFonts w:hint="eastAsia" w:ascii="宋体" w:hAnsi="宋体" w:eastAsia="宋体" w:cs="宋体"/>
          <w:spacing w:val="0"/>
          <w:w w:val="100"/>
          <w:sz w:val="36"/>
          <w:szCs w:val="36"/>
          <w:lang w:val="en-US" w:eastAsia="zh-CN"/>
        </w:rPr>
        <w:t>拟任执行管理及技术人员情况</w:t>
      </w:r>
      <w:bookmarkEnd w:id="127"/>
    </w:p>
    <w:p>
      <w:pPr>
        <w:bidi w:val="0"/>
        <w:rPr>
          <w:rFonts w:hint="eastAsia"/>
          <w:spacing w:val="0"/>
          <w:w w:val="100"/>
          <w:lang w:val="en-US" w:eastAsia="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bidi w:val="0"/>
        <w:rPr>
          <w:rFonts w:hint="eastAsia" w:ascii="仿宋" w:hAnsi="仿宋" w:eastAsia="仿宋" w:cs="仿宋"/>
          <w:spacing w:val="0"/>
          <w:w w:val="100"/>
          <w:sz w:val="21"/>
          <w:szCs w:val="21"/>
          <w:lang w:val="zh-CN" w:eastAsia="zh-CN"/>
        </w:rPr>
      </w:pPr>
      <w:r>
        <w:rPr>
          <w:rFonts w:hint="eastAsia" w:ascii="仿宋" w:hAnsi="仿宋" w:eastAsia="仿宋" w:cs="仿宋"/>
          <w:spacing w:val="0"/>
          <w:w w:val="100"/>
          <w:sz w:val="21"/>
          <w:szCs w:val="21"/>
          <w:lang w:val="en-US" w:eastAsia="zh-CN"/>
        </w:rPr>
        <w:t>项目编号</w:t>
      </w:r>
      <w:r>
        <w:rPr>
          <w:rFonts w:hint="eastAsia" w:ascii="仿宋" w:hAnsi="仿宋" w:eastAsia="仿宋" w:cs="仿宋"/>
          <w:spacing w:val="0"/>
          <w:w w:val="100"/>
          <w:sz w:val="21"/>
          <w:szCs w:val="21"/>
          <w:lang w:val="zh-CN" w:eastAsia="zh-CN"/>
        </w:rPr>
        <w:t>：</w:t>
      </w:r>
    </w:p>
    <w:p>
      <w:pPr>
        <w:pStyle w:val="2"/>
        <w:rPr>
          <w:rFonts w:hint="eastAsia" w:ascii="仿宋" w:hAnsi="仿宋" w:eastAsia="仿宋" w:cs="仿宋"/>
          <w:spacing w:val="0"/>
          <w:w w:val="100"/>
          <w:sz w:val="21"/>
          <w:szCs w:val="21"/>
          <w:lang w:val="en-US" w:eastAsia="zh-CN"/>
        </w:rPr>
      </w:pPr>
    </w:p>
    <w:tbl>
      <w:tblPr>
        <w:tblStyle w:val="22"/>
        <w:tblW w:w="10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2102"/>
        <w:gridCol w:w="1643"/>
        <w:gridCol w:w="1572"/>
        <w:gridCol w:w="1981"/>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42" w:type="dxa"/>
            <w:noWrap w:val="0"/>
            <w:vAlign w:val="center"/>
          </w:tcPr>
          <w:p>
            <w:pPr>
              <w:bidi w:val="0"/>
              <w:jc w:val="center"/>
              <w:rPr>
                <w:rFonts w:hint="eastAsia"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序号</w:t>
            </w:r>
          </w:p>
        </w:tc>
        <w:tc>
          <w:tcPr>
            <w:tcW w:w="2102"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职责分工</w:t>
            </w:r>
          </w:p>
        </w:tc>
        <w:tc>
          <w:tcPr>
            <w:tcW w:w="1643"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lang w:val="zh-CN" w:eastAsia="zh-CN"/>
              </w:rPr>
              <w:t>姓名</w:t>
            </w:r>
          </w:p>
        </w:tc>
        <w:tc>
          <w:tcPr>
            <w:tcW w:w="1572"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证书名称</w:t>
            </w:r>
          </w:p>
        </w:tc>
        <w:tc>
          <w:tcPr>
            <w:tcW w:w="1981"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证书编号</w:t>
            </w:r>
          </w:p>
        </w:tc>
        <w:tc>
          <w:tcPr>
            <w:tcW w:w="1160"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所学专业</w:t>
            </w:r>
          </w:p>
        </w:tc>
        <w:tc>
          <w:tcPr>
            <w:tcW w:w="1270"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642" w:type="dxa"/>
            <w:noWrap w:val="0"/>
            <w:vAlign w:val="center"/>
          </w:tcPr>
          <w:p>
            <w:pPr>
              <w:bidi w:val="0"/>
              <w:jc w:val="center"/>
              <w:rPr>
                <w:rFonts w:hint="eastAsia"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1</w:t>
            </w:r>
          </w:p>
        </w:tc>
        <w:tc>
          <w:tcPr>
            <w:tcW w:w="2102" w:type="dxa"/>
            <w:noWrap w:val="0"/>
            <w:vAlign w:val="center"/>
          </w:tcPr>
          <w:p>
            <w:pPr>
              <w:bidi w:val="0"/>
              <w:jc w:val="center"/>
              <w:rPr>
                <w:rFonts w:hint="eastAsia" w:ascii="仿宋" w:hAnsi="仿宋" w:eastAsia="仿宋" w:cs="仿宋"/>
                <w:spacing w:val="0"/>
                <w:w w:val="100"/>
                <w:sz w:val="24"/>
                <w:szCs w:val="24"/>
              </w:rPr>
            </w:pP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2" w:type="dxa"/>
            <w:noWrap w:val="0"/>
            <w:vAlign w:val="center"/>
          </w:tcPr>
          <w:p>
            <w:pPr>
              <w:bidi w:val="0"/>
              <w:jc w:val="center"/>
              <w:rPr>
                <w:rFonts w:hint="default"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2</w:t>
            </w:r>
          </w:p>
        </w:tc>
        <w:tc>
          <w:tcPr>
            <w:tcW w:w="2102" w:type="dxa"/>
            <w:noWrap w:val="0"/>
            <w:vAlign w:val="center"/>
          </w:tcPr>
          <w:p>
            <w:pPr>
              <w:bidi w:val="0"/>
              <w:jc w:val="center"/>
              <w:rPr>
                <w:rFonts w:hint="eastAsia" w:ascii="仿宋" w:hAnsi="仿宋" w:eastAsia="仿宋" w:cs="仿宋"/>
                <w:spacing w:val="0"/>
                <w:w w:val="100"/>
                <w:sz w:val="28"/>
                <w:szCs w:val="28"/>
                <w:lang w:val="zh-CN"/>
              </w:rPr>
            </w:pP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2" w:type="dxa"/>
            <w:noWrap w:val="0"/>
            <w:vAlign w:val="center"/>
          </w:tcPr>
          <w:p>
            <w:pPr>
              <w:bidi w:val="0"/>
              <w:jc w:val="center"/>
              <w:rPr>
                <w:rFonts w:hint="default"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3</w:t>
            </w:r>
          </w:p>
        </w:tc>
        <w:tc>
          <w:tcPr>
            <w:tcW w:w="2102" w:type="dxa"/>
            <w:noWrap w:val="0"/>
            <w:vAlign w:val="center"/>
          </w:tcPr>
          <w:p>
            <w:pPr>
              <w:bidi w:val="0"/>
              <w:jc w:val="center"/>
              <w:rPr>
                <w:rFonts w:hint="eastAsia" w:ascii="仿宋" w:hAnsi="仿宋" w:eastAsia="仿宋" w:cs="仿宋"/>
                <w:spacing w:val="0"/>
                <w:w w:val="100"/>
                <w:sz w:val="28"/>
                <w:szCs w:val="28"/>
                <w:lang w:val="en-US" w:eastAsia="zh-CN"/>
              </w:rPr>
            </w:pP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bl>
    <w:p>
      <w:pPr>
        <w:spacing w:before="99"/>
        <w:ind w:left="280" w:right="0" w:firstLine="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提供上述人员</w:t>
      </w:r>
      <w:r>
        <w:rPr>
          <w:rFonts w:hint="eastAsia" w:ascii="仿宋" w:hAnsi="仿宋" w:eastAsia="仿宋" w:cs="仿宋"/>
          <w:spacing w:val="0"/>
          <w:w w:val="100"/>
          <w:sz w:val="21"/>
          <w:szCs w:val="21"/>
          <w:lang w:val="en-US" w:eastAsia="zh-CN"/>
        </w:rPr>
        <w:t>身份证或</w:t>
      </w:r>
      <w:r>
        <w:rPr>
          <w:rFonts w:hint="eastAsia" w:ascii="仿宋" w:hAnsi="仿宋" w:eastAsia="仿宋" w:cs="仿宋"/>
          <w:spacing w:val="0"/>
          <w:w w:val="100"/>
          <w:sz w:val="21"/>
          <w:szCs w:val="21"/>
        </w:rPr>
        <w:t>资格证书等证明材料复印件加盖公章。</w:t>
      </w: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tabs>
          <w:tab w:val="left" w:pos="6099"/>
          <w:tab w:val="left" w:pos="9339"/>
        </w:tabs>
        <w:spacing w:before="151"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numPr>
          <w:ilvl w:val="0"/>
          <w:numId w:val="77"/>
        </w:numPr>
        <w:ind w:left="425" w:leftChars="0" w:hanging="425" w:firstLineChars="0"/>
        <w:rPr>
          <w:rFonts w:hint="eastAsia" w:ascii="宋体" w:hAnsi="宋体" w:eastAsia="宋体" w:cs="宋体"/>
          <w:spacing w:val="0"/>
          <w:w w:val="100"/>
          <w:sz w:val="36"/>
          <w:szCs w:val="36"/>
          <w:lang w:val="en-US" w:eastAsia="zh-CN"/>
        </w:rPr>
      </w:pPr>
      <w:bookmarkStart w:id="128" w:name="_Toc8991"/>
      <w:r>
        <w:rPr>
          <w:rFonts w:hint="eastAsia" w:ascii="宋体" w:hAnsi="宋体" w:eastAsia="宋体" w:cs="宋体"/>
          <w:spacing w:val="0"/>
          <w:w w:val="100"/>
          <w:sz w:val="36"/>
          <w:szCs w:val="36"/>
          <w:lang w:val="en-US" w:eastAsia="zh-CN"/>
        </w:rPr>
        <w:t>服务方案</w:t>
      </w:r>
      <w:bookmarkEnd w:id="128"/>
    </w:p>
    <w:p>
      <w:pPr>
        <w:pStyle w:val="2"/>
        <w:spacing w:before="3"/>
        <w:rPr>
          <w:b/>
          <w:spacing w:val="0"/>
          <w:w w:val="100"/>
          <w:sz w:val="57"/>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bidi w:val="0"/>
        <w:rPr>
          <w:rFonts w:hint="eastAsia" w:ascii="仿宋" w:hAnsi="仿宋" w:eastAsia="仿宋" w:cs="仿宋"/>
          <w:spacing w:val="0"/>
          <w:w w:val="100"/>
          <w:sz w:val="21"/>
          <w:szCs w:val="21"/>
          <w:lang w:val="zh-CN" w:eastAsia="zh-CN"/>
        </w:rPr>
      </w:pPr>
      <w:r>
        <w:rPr>
          <w:rFonts w:hint="eastAsia" w:ascii="仿宋" w:hAnsi="仿宋" w:eastAsia="仿宋" w:cs="仿宋"/>
          <w:spacing w:val="0"/>
          <w:w w:val="100"/>
          <w:sz w:val="21"/>
          <w:szCs w:val="21"/>
          <w:lang w:val="en-US" w:eastAsia="zh-CN"/>
        </w:rPr>
        <w:t>项目编号</w:t>
      </w:r>
      <w:r>
        <w:rPr>
          <w:rFonts w:hint="eastAsia" w:ascii="仿宋" w:hAnsi="仿宋" w:eastAsia="仿宋" w:cs="仿宋"/>
          <w:spacing w:val="0"/>
          <w:w w:val="100"/>
          <w:sz w:val="21"/>
          <w:szCs w:val="21"/>
          <w:lang w:val="zh-CN" w:eastAsia="zh-CN"/>
        </w:rPr>
        <w:t>：</w:t>
      </w:r>
    </w:p>
    <w:p>
      <w:pPr>
        <w:pStyle w:val="2"/>
        <w:rPr>
          <w:spacing w:val="0"/>
          <w:w w:val="100"/>
        </w:rPr>
      </w:pPr>
    </w:p>
    <w:p>
      <w:pPr>
        <w:pStyle w:val="2"/>
        <w:bidi w:val="0"/>
        <w:rPr>
          <w:rFonts w:hint="eastAsia" w:ascii="仿宋" w:hAnsi="仿宋" w:eastAsia="仿宋" w:cs="仿宋"/>
          <w:b/>
          <w:bCs/>
          <w:spacing w:val="0"/>
          <w:w w:val="100"/>
          <w:sz w:val="21"/>
          <w:szCs w:val="21"/>
          <w:lang w:val="zh-CN" w:eastAsia="zh-CN" w:bidi="zh-CN"/>
        </w:rPr>
      </w:pPr>
    </w:p>
    <w:p>
      <w:pPr>
        <w:pStyle w:val="13"/>
        <w:spacing w:line="360" w:lineRule="auto"/>
        <w:ind w:firstLine="422" w:firstLineChars="192"/>
        <w:rPr>
          <w:rFonts w:hint="eastAsia" w:ascii="仿宋" w:hAnsi="仿宋" w:eastAsia="仿宋" w:cs="仿宋"/>
          <w:color w:val="000000"/>
          <w:spacing w:val="0"/>
          <w:w w:val="100"/>
          <w:szCs w:val="21"/>
          <w:highlight w:val="none"/>
          <w:lang w:eastAsia="zh-CN"/>
        </w:rPr>
      </w:pPr>
      <w:r>
        <w:rPr>
          <w:rFonts w:hint="eastAsia" w:ascii="仿宋" w:hAnsi="仿宋" w:eastAsia="仿宋" w:cs="仿宋"/>
          <w:color w:val="000000"/>
          <w:spacing w:val="0"/>
          <w:w w:val="100"/>
          <w:szCs w:val="21"/>
          <w:highlight w:val="none"/>
          <w:lang w:eastAsia="zh-CN"/>
        </w:rPr>
        <w:t>供应商</w:t>
      </w:r>
      <w:r>
        <w:rPr>
          <w:rFonts w:hint="eastAsia" w:ascii="仿宋" w:hAnsi="仿宋" w:eastAsia="仿宋" w:cs="仿宋"/>
          <w:color w:val="000000"/>
          <w:spacing w:val="0"/>
          <w:w w:val="100"/>
          <w:szCs w:val="21"/>
          <w:highlight w:val="none"/>
        </w:rPr>
        <w:t>首先应充分理解</w:t>
      </w:r>
      <w:r>
        <w:rPr>
          <w:rFonts w:hint="eastAsia" w:ascii="仿宋" w:hAnsi="仿宋" w:eastAsia="仿宋" w:cs="仿宋"/>
          <w:color w:val="000000"/>
          <w:spacing w:val="0"/>
          <w:w w:val="100"/>
          <w:szCs w:val="21"/>
          <w:highlight w:val="none"/>
          <w:lang w:val="en-US" w:eastAsia="zh-CN"/>
        </w:rPr>
        <w:t>谈判</w:t>
      </w:r>
      <w:r>
        <w:rPr>
          <w:rFonts w:hint="eastAsia" w:ascii="仿宋" w:hAnsi="仿宋" w:eastAsia="仿宋" w:cs="仿宋"/>
          <w:color w:val="000000"/>
          <w:spacing w:val="0"/>
          <w:w w:val="100"/>
          <w:szCs w:val="21"/>
          <w:highlight w:val="none"/>
        </w:rPr>
        <w:t>文件中用户需求书</w:t>
      </w:r>
      <w:r>
        <w:rPr>
          <w:rFonts w:hint="eastAsia" w:ascii="仿宋" w:hAnsi="仿宋" w:eastAsia="仿宋" w:cs="仿宋"/>
          <w:color w:val="000000"/>
          <w:spacing w:val="0"/>
          <w:w w:val="100"/>
          <w:szCs w:val="21"/>
          <w:highlight w:val="none"/>
          <w:lang w:val="en-US" w:eastAsia="zh-CN"/>
        </w:rPr>
        <w:t>等项目</w:t>
      </w:r>
      <w:r>
        <w:rPr>
          <w:rFonts w:hint="eastAsia" w:ascii="仿宋" w:hAnsi="仿宋" w:eastAsia="仿宋" w:cs="仿宋"/>
          <w:color w:val="000000"/>
          <w:spacing w:val="0"/>
          <w:w w:val="100"/>
          <w:szCs w:val="21"/>
          <w:highlight w:val="none"/>
        </w:rPr>
        <w:t>内容的</w:t>
      </w:r>
      <w:r>
        <w:rPr>
          <w:rFonts w:hint="eastAsia" w:ascii="仿宋" w:hAnsi="仿宋" w:eastAsia="仿宋" w:cs="仿宋"/>
          <w:color w:val="000000"/>
          <w:spacing w:val="0"/>
          <w:w w:val="100"/>
          <w:szCs w:val="21"/>
          <w:highlight w:val="none"/>
          <w:lang w:val="en-US" w:eastAsia="zh-CN"/>
        </w:rPr>
        <w:t>技术</w:t>
      </w:r>
      <w:r>
        <w:rPr>
          <w:rFonts w:hint="eastAsia" w:ascii="仿宋" w:hAnsi="仿宋" w:eastAsia="仿宋" w:cs="仿宋"/>
          <w:color w:val="000000"/>
          <w:spacing w:val="0"/>
          <w:w w:val="100"/>
          <w:szCs w:val="21"/>
          <w:highlight w:val="none"/>
        </w:rPr>
        <w:t>要求，并在此基础之上完成项目服务方案的编写</w:t>
      </w:r>
      <w:r>
        <w:rPr>
          <w:rFonts w:hint="eastAsia" w:ascii="仿宋" w:hAnsi="仿宋" w:eastAsia="仿宋" w:cs="仿宋"/>
          <w:color w:val="000000"/>
          <w:spacing w:val="0"/>
          <w:w w:val="100"/>
          <w:szCs w:val="21"/>
          <w:highlight w:val="none"/>
          <w:lang w:eastAsia="zh-CN"/>
        </w:rPr>
        <w:t>。</w:t>
      </w:r>
    </w:p>
    <w:p>
      <w:pPr>
        <w:pStyle w:val="2"/>
        <w:rPr>
          <w:rFonts w:hint="eastAsia" w:ascii="仿宋" w:hAnsi="仿宋" w:eastAsia="仿宋" w:cs="仿宋"/>
          <w:b/>
          <w:spacing w:val="0"/>
          <w:w w:val="100"/>
          <w:sz w:val="21"/>
          <w:szCs w:val="21"/>
        </w:rPr>
      </w:pPr>
    </w:p>
    <w:p>
      <w:pPr>
        <w:pStyle w:val="2"/>
        <w:rPr>
          <w:rFonts w:hint="eastAsia" w:ascii="仿宋" w:hAnsi="仿宋" w:eastAsia="仿宋" w:cs="仿宋"/>
          <w:b/>
          <w:spacing w:val="0"/>
          <w:w w:val="100"/>
          <w:sz w:val="21"/>
          <w:szCs w:val="21"/>
        </w:rPr>
      </w:pPr>
    </w:p>
    <w:p>
      <w:pPr>
        <w:pStyle w:val="2"/>
        <w:tabs>
          <w:tab w:val="left" w:pos="6099"/>
          <w:tab w:val="left" w:pos="9339"/>
        </w:tabs>
        <w:spacing w:before="167"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5"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1"/>
        <w:rPr>
          <w:rFonts w:hint="default"/>
          <w:lang w:val="en-US" w:eastAsia="zh-CN"/>
        </w:rPr>
      </w:pPr>
    </w:p>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5"/>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新兴县中医院药事管理系统采购项目                                                    项目编号：GDZZ-2023-06-01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新兴县中医院药事管理系统采购项目                                                   项目编号：GDZZ-2023-06-01</w:t>
    </w:r>
  </w:p>
  <w:p>
    <w:pPr>
      <w:pStyle w:val="16"/>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C545"/>
    <w:multiLevelType w:val="singleLevel"/>
    <w:tmpl w:val="817CC545"/>
    <w:lvl w:ilvl="0" w:tentative="0">
      <w:start w:val="1"/>
      <w:numFmt w:val="decimal"/>
      <w:lvlText w:val="%1."/>
      <w:lvlJc w:val="left"/>
      <w:pPr>
        <w:tabs>
          <w:tab w:val="left" w:pos="420"/>
        </w:tabs>
        <w:ind w:left="845" w:hanging="425"/>
      </w:pPr>
      <w:rPr>
        <w:rFonts w:hint="default"/>
      </w:rPr>
    </w:lvl>
  </w:abstractNum>
  <w:abstractNum w:abstractNumId="1">
    <w:nsid w:val="87865489"/>
    <w:multiLevelType w:val="singleLevel"/>
    <w:tmpl w:val="87865489"/>
    <w:lvl w:ilvl="0" w:tentative="0">
      <w:start w:val="1"/>
      <w:numFmt w:val="decimalEnclosedCircleChinese"/>
      <w:suff w:val="nothing"/>
      <w:lvlText w:val="%1　"/>
      <w:lvlJc w:val="left"/>
      <w:pPr>
        <w:ind w:left="0" w:firstLine="400"/>
      </w:pPr>
      <w:rPr>
        <w:rFonts w:hint="eastAsia"/>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8C067C3C"/>
    <w:multiLevelType w:val="singleLevel"/>
    <w:tmpl w:val="8C067C3C"/>
    <w:lvl w:ilvl="0" w:tentative="0">
      <w:start w:val="1"/>
      <w:numFmt w:val="decimal"/>
      <w:lvlText w:val="(%1)"/>
      <w:lvlJc w:val="left"/>
      <w:pPr>
        <w:ind w:left="425" w:hanging="425"/>
      </w:pPr>
      <w:rPr>
        <w:rFonts w:hint="default"/>
      </w:rPr>
    </w:lvl>
  </w:abstractNum>
  <w:abstractNum w:abstractNumId="4">
    <w:nsid w:val="8F88B2AC"/>
    <w:multiLevelType w:val="singleLevel"/>
    <w:tmpl w:val="8F88B2AC"/>
    <w:lvl w:ilvl="0" w:tentative="0">
      <w:start w:val="1"/>
      <w:numFmt w:val="decimal"/>
      <w:lvlText w:val="(%1)"/>
      <w:lvlJc w:val="left"/>
      <w:pPr>
        <w:ind w:left="425" w:hanging="425"/>
      </w:pPr>
      <w:rPr>
        <w:rFonts w:hint="default"/>
      </w:rPr>
    </w:lvl>
  </w:abstractNum>
  <w:abstractNum w:abstractNumId="5">
    <w:nsid w:val="929FC753"/>
    <w:multiLevelType w:val="singleLevel"/>
    <w:tmpl w:val="929FC753"/>
    <w:lvl w:ilvl="0" w:tentative="0">
      <w:start w:val="1"/>
      <w:numFmt w:val="decimal"/>
      <w:lvlText w:val="(%1)"/>
      <w:lvlJc w:val="left"/>
      <w:pPr>
        <w:ind w:left="425" w:hanging="425"/>
      </w:pPr>
      <w:rPr>
        <w:rFonts w:hint="default"/>
      </w:rPr>
    </w:lvl>
  </w:abstractNum>
  <w:abstractNum w:abstractNumId="6">
    <w:nsid w:val="9603838E"/>
    <w:multiLevelType w:val="singleLevel"/>
    <w:tmpl w:val="9603838E"/>
    <w:lvl w:ilvl="0" w:tentative="0">
      <w:start w:val="1"/>
      <w:numFmt w:val="decimal"/>
      <w:lvlText w:val="(%1)"/>
      <w:lvlJc w:val="left"/>
      <w:pPr>
        <w:ind w:left="425" w:hanging="425"/>
      </w:pPr>
      <w:rPr>
        <w:rFonts w:hint="default"/>
      </w:rPr>
    </w:lvl>
  </w:abstractNum>
  <w:abstractNum w:abstractNumId="7">
    <w:nsid w:val="96417985"/>
    <w:multiLevelType w:val="singleLevel"/>
    <w:tmpl w:val="96417985"/>
    <w:lvl w:ilvl="0" w:tentative="0">
      <w:start w:val="1"/>
      <w:numFmt w:val="decimal"/>
      <w:lvlText w:val="(%1)"/>
      <w:lvlJc w:val="left"/>
      <w:pPr>
        <w:ind w:left="425" w:hanging="425"/>
      </w:pPr>
      <w:rPr>
        <w:rFonts w:hint="default"/>
      </w:rPr>
    </w:lvl>
  </w:abstractNum>
  <w:abstractNum w:abstractNumId="8">
    <w:nsid w:val="9771CCB6"/>
    <w:multiLevelType w:val="singleLevel"/>
    <w:tmpl w:val="9771CCB6"/>
    <w:lvl w:ilvl="0" w:tentative="0">
      <w:start w:val="1"/>
      <w:numFmt w:val="decimal"/>
      <w:lvlText w:val="(%1)"/>
      <w:lvlJc w:val="left"/>
      <w:pPr>
        <w:ind w:left="425" w:hanging="425"/>
      </w:pPr>
      <w:rPr>
        <w:rFonts w:hint="default"/>
      </w:rPr>
    </w:lvl>
  </w:abstractNum>
  <w:abstractNum w:abstractNumId="9">
    <w:nsid w:val="9A8E0CBB"/>
    <w:multiLevelType w:val="singleLevel"/>
    <w:tmpl w:val="9A8E0CBB"/>
    <w:lvl w:ilvl="0" w:tentative="0">
      <w:start w:val="1"/>
      <w:numFmt w:val="decimal"/>
      <w:lvlText w:val="(%1)"/>
      <w:lvlJc w:val="left"/>
      <w:pPr>
        <w:ind w:left="425" w:hanging="425"/>
      </w:pPr>
      <w:rPr>
        <w:rFonts w:hint="default"/>
      </w:rPr>
    </w:lvl>
  </w:abstractNum>
  <w:abstractNum w:abstractNumId="10">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11">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12">
    <w:nsid w:val="A4515F5B"/>
    <w:multiLevelType w:val="singleLevel"/>
    <w:tmpl w:val="A4515F5B"/>
    <w:lvl w:ilvl="0" w:tentative="0">
      <w:start w:val="1"/>
      <w:numFmt w:val="decimal"/>
      <w:lvlText w:val="(%1)"/>
      <w:lvlJc w:val="left"/>
      <w:pPr>
        <w:ind w:left="425" w:hanging="425"/>
      </w:pPr>
      <w:rPr>
        <w:rFonts w:hint="default"/>
      </w:rPr>
    </w:lvl>
  </w:abstractNum>
  <w:abstractNum w:abstractNumId="13">
    <w:nsid w:val="A611678D"/>
    <w:multiLevelType w:val="singleLevel"/>
    <w:tmpl w:val="A611678D"/>
    <w:lvl w:ilvl="0" w:tentative="0">
      <w:start w:val="1"/>
      <w:numFmt w:val="decimal"/>
      <w:lvlText w:val="(%1)"/>
      <w:lvlJc w:val="left"/>
      <w:pPr>
        <w:ind w:left="425" w:hanging="425"/>
      </w:pPr>
      <w:rPr>
        <w:rFonts w:hint="default"/>
      </w:rPr>
    </w:lvl>
  </w:abstractNum>
  <w:abstractNum w:abstractNumId="14">
    <w:nsid w:val="A9E3E022"/>
    <w:multiLevelType w:val="singleLevel"/>
    <w:tmpl w:val="A9E3E022"/>
    <w:lvl w:ilvl="0" w:tentative="0">
      <w:start w:val="1"/>
      <w:numFmt w:val="decimal"/>
      <w:lvlText w:val="(%1)"/>
      <w:lvlJc w:val="left"/>
      <w:pPr>
        <w:ind w:left="425" w:hanging="425"/>
      </w:pPr>
      <w:rPr>
        <w:rFonts w:hint="default"/>
      </w:rPr>
    </w:lvl>
  </w:abstractNum>
  <w:abstractNum w:abstractNumId="15">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6">
    <w:nsid w:val="AD92B3C6"/>
    <w:multiLevelType w:val="singleLevel"/>
    <w:tmpl w:val="AD92B3C6"/>
    <w:lvl w:ilvl="0" w:tentative="0">
      <w:start w:val="1"/>
      <w:numFmt w:val="decimal"/>
      <w:lvlText w:val="(%1)"/>
      <w:lvlJc w:val="left"/>
      <w:pPr>
        <w:ind w:left="425" w:hanging="425"/>
      </w:pPr>
      <w:rPr>
        <w:rFonts w:hint="default"/>
      </w:rPr>
    </w:lvl>
  </w:abstractNum>
  <w:abstractNum w:abstractNumId="17">
    <w:nsid w:val="ADED704D"/>
    <w:multiLevelType w:val="singleLevel"/>
    <w:tmpl w:val="ADED704D"/>
    <w:lvl w:ilvl="0" w:tentative="0">
      <w:start w:val="1"/>
      <w:numFmt w:val="decimal"/>
      <w:lvlText w:val="%1."/>
      <w:lvlJc w:val="left"/>
      <w:pPr>
        <w:ind w:left="425" w:hanging="425"/>
      </w:pPr>
      <w:rPr>
        <w:rFonts w:hint="default"/>
      </w:rPr>
    </w:lvl>
  </w:abstractNum>
  <w:abstractNum w:abstractNumId="18">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9">
    <w:nsid w:val="B6E37AD7"/>
    <w:multiLevelType w:val="singleLevel"/>
    <w:tmpl w:val="B6E37AD7"/>
    <w:lvl w:ilvl="0" w:tentative="0">
      <w:start w:val="1"/>
      <w:numFmt w:val="decimal"/>
      <w:lvlText w:val="(%1)"/>
      <w:lvlJc w:val="left"/>
      <w:pPr>
        <w:ind w:left="425" w:hanging="425"/>
      </w:pPr>
      <w:rPr>
        <w:rFonts w:hint="default"/>
      </w:rPr>
    </w:lvl>
  </w:abstractNum>
  <w:abstractNum w:abstractNumId="20">
    <w:nsid w:val="B83B0641"/>
    <w:multiLevelType w:val="singleLevel"/>
    <w:tmpl w:val="B83B0641"/>
    <w:lvl w:ilvl="0" w:tentative="0">
      <w:start w:val="1"/>
      <w:numFmt w:val="decimal"/>
      <w:lvlText w:val="(%1)"/>
      <w:lvlJc w:val="left"/>
      <w:pPr>
        <w:ind w:left="425" w:hanging="425"/>
      </w:pPr>
      <w:rPr>
        <w:rFonts w:hint="default"/>
      </w:rPr>
    </w:lvl>
  </w:abstractNum>
  <w:abstractNum w:abstractNumId="21">
    <w:nsid w:val="B954E183"/>
    <w:multiLevelType w:val="singleLevel"/>
    <w:tmpl w:val="B954E183"/>
    <w:lvl w:ilvl="0" w:tentative="0">
      <w:start w:val="1"/>
      <w:numFmt w:val="decimalEnclosedCircleChinese"/>
      <w:suff w:val="nothing"/>
      <w:lvlText w:val="%1　"/>
      <w:lvlJc w:val="left"/>
      <w:pPr>
        <w:ind w:left="0" w:firstLine="400"/>
      </w:pPr>
      <w:rPr>
        <w:rFonts w:hint="eastAsia"/>
      </w:rPr>
    </w:lvl>
  </w:abstractNum>
  <w:abstractNum w:abstractNumId="22">
    <w:nsid w:val="C18C534E"/>
    <w:multiLevelType w:val="singleLevel"/>
    <w:tmpl w:val="C18C534E"/>
    <w:lvl w:ilvl="0" w:tentative="0">
      <w:start w:val="1"/>
      <w:numFmt w:val="decimal"/>
      <w:lvlText w:val="%1."/>
      <w:lvlJc w:val="left"/>
      <w:pPr>
        <w:ind w:left="425" w:hanging="425"/>
      </w:pPr>
      <w:rPr>
        <w:rFonts w:hint="default"/>
      </w:rPr>
    </w:lvl>
  </w:abstractNum>
  <w:abstractNum w:abstractNumId="23">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24">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5">
    <w:nsid w:val="C97FC5F0"/>
    <w:multiLevelType w:val="singleLevel"/>
    <w:tmpl w:val="C97FC5F0"/>
    <w:lvl w:ilvl="0" w:tentative="0">
      <w:start w:val="1"/>
      <w:numFmt w:val="decimal"/>
      <w:lvlText w:val="(%1)"/>
      <w:lvlJc w:val="left"/>
      <w:pPr>
        <w:ind w:left="425" w:hanging="425"/>
      </w:pPr>
      <w:rPr>
        <w:rFonts w:hint="default"/>
      </w:rPr>
    </w:lvl>
  </w:abstractNum>
  <w:abstractNum w:abstractNumId="26">
    <w:nsid w:val="CCE8E5A6"/>
    <w:multiLevelType w:val="singleLevel"/>
    <w:tmpl w:val="CCE8E5A6"/>
    <w:lvl w:ilvl="0" w:tentative="0">
      <w:start w:val="1"/>
      <w:numFmt w:val="decimal"/>
      <w:lvlText w:val="%1)"/>
      <w:lvlJc w:val="left"/>
      <w:pPr>
        <w:tabs>
          <w:tab w:val="left" w:pos="420"/>
        </w:tabs>
        <w:ind w:left="845" w:hanging="425"/>
      </w:pPr>
      <w:rPr>
        <w:rFonts w:hint="default"/>
      </w:rPr>
    </w:lvl>
  </w:abstractNum>
  <w:abstractNum w:abstractNumId="27">
    <w:nsid w:val="CE365670"/>
    <w:multiLevelType w:val="singleLevel"/>
    <w:tmpl w:val="CE365670"/>
    <w:lvl w:ilvl="0" w:tentative="0">
      <w:start w:val="1"/>
      <w:numFmt w:val="decimal"/>
      <w:lvlText w:val="%1)"/>
      <w:lvlJc w:val="left"/>
      <w:pPr>
        <w:tabs>
          <w:tab w:val="left" w:pos="420"/>
        </w:tabs>
        <w:ind w:left="845" w:hanging="425"/>
      </w:pPr>
      <w:rPr>
        <w:rFonts w:hint="default"/>
      </w:rPr>
    </w:lvl>
  </w:abstractNum>
  <w:abstractNum w:abstractNumId="28">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9">
    <w:nsid w:val="CFEBA607"/>
    <w:multiLevelType w:val="singleLevel"/>
    <w:tmpl w:val="CFEBA607"/>
    <w:lvl w:ilvl="0" w:tentative="0">
      <w:start w:val="1"/>
      <w:numFmt w:val="decimal"/>
      <w:suff w:val="nothing"/>
      <w:lvlText w:val="%1、"/>
      <w:lvlJc w:val="left"/>
      <w:pPr>
        <w:ind w:left="420"/>
      </w:pPr>
    </w:lvl>
  </w:abstractNum>
  <w:abstractNum w:abstractNumId="30">
    <w:nsid w:val="D184E1C4"/>
    <w:multiLevelType w:val="singleLevel"/>
    <w:tmpl w:val="D184E1C4"/>
    <w:lvl w:ilvl="0" w:tentative="0">
      <w:start w:val="1"/>
      <w:numFmt w:val="decimal"/>
      <w:lvlText w:val="(%1)"/>
      <w:lvlJc w:val="left"/>
      <w:pPr>
        <w:ind w:left="425" w:hanging="425"/>
      </w:pPr>
      <w:rPr>
        <w:rFonts w:hint="default"/>
      </w:rPr>
    </w:lvl>
  </w:abstractNum>
  <w:abstractNum w:abstractNumId="31">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32">
    <w:nsid w:val="DA1BCC61"/>
    <w:multiLevelType w:val="singleLevel"/>
    <w:tmpl w:val="DA1BCC61"/>
    <w:lvl w:ilvl="0" w:tentative="0">
      <w:start w:val="1"/>
      <w:numFmt w:val="decimalEnclosedCircleChinese"/>
      <w:suff w:val="nothing"/>
      <w:lvlText w:val="%1　"/>
      <w:lvlJc w:val="left"/>
      <w:pPr>
        <w:ind w:left="0" w:firstLine="400"/>
      </w:pPr>
      <w:rPr>
        <w:rFonts w:hint="eastAsia"/>
      </w:rPr>
    </w:lvl>
  </w:abstractNum>
  <w:abstractNum w:abstractNumId="33">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34">
    <w:nsid w:val="E024D42B"/>
    <w:multiLevelType w:val="singleLevel"/>
    <w:tmpl w:val="E024D42B"/>
    <w:lvl w:ilvl="0" w:tentative="0">
      <w:start w:val="1"/>
      <w:numFmt w:val="decimal"/>
      <w:lvlText w:val="(%1)"/>
      <w:lvlJc w:val="left"/>
      <w:pPr>
        <w:ind w:left="425" w:hanging="425"/>
      </w:pPr>
      <w:rPr>
        <w:rFonts w:hint="default"/>
      </w:rPr>
    </w:lvl>
  </w:abstractNum>
  <w:abstractNum w:abstractNumId="35">
    <w:nsid w:val="E3019926"/>
    <w:multiLevelType w:val="singleLevel"/>
    <w:tmpl w:val="E3019926"/>
    <w:lvl w:ilvl="0" w:tentative="0">
      <w:start w:val="1"/>
      <w:numFmt w:val="decimal"/>
      <w:lvlText w:val="(%1)"/>
      <w:lvlJc w:val="left"/>
      <w:pPr>
        <w:ind w:left="425" w:hanging="425"/>
      </w:pPr>
      <w:rPr>
        <w:rFonts w:hint="default"/>
      </w:rPr>
    </w:lvl>
  </w:abstractNum>
  <w:abstractNum w:abstractNumId="36">
    <w:nsid w:val="E40C9E54"/>
    <w:multiLevelType w:val="multilevel"/>
    <w:tmpl w:val="E40C9E5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E89B225C"/>
    <w:multiLevelType w:val="singleLevel"/>
    <w:tmpl w:val="E89B225C"/>
    <w:lvl w:ilvl="0" w:tentative="0">
      <w:start w:val="1"/>
      <w:numFmt w:val="decimal"/>
      <w:lvlText w:val="%1."/>
      <w:lvlJc w:val="left"/>
      <w:pPr>
        <w:ind w:left="425" w:hanging="425"/>
      </w:pPr>
      <w:rPr>
        <w:rFonts w:hint="default"/>
      </w:rPr>
    </w:lvl>
  </w:abstractNum>
  <w:abstractNum w:abstractNumId="38">
    <w:nsid w:val="E9121540"/>
    <w:multiLevelType w:val="singleLevel"/>
    <w:tmpl w:val="E9121540"/>
    <w:lvl w:ilvl="0" w:tentative="0">
      <w:start w:val="1"/>
      <w:numFmt w:val="decimal"/>
      <w:lvlText w:val="(%1)"/>
      <w:lvlJc w:val="left"/>
      <w:pPr>
        <w:ind w:left="425" w:hanging="425"/>
      </w:pPr>
      <w:rPr>
        <w:rFonts w:hint="default"/>
      </w:rPr>
    </w:lvl>
  </w:abstractNum>
  <w:abstractNum w:abstractNumId="39">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40">
    <w:nsid w:val="F46B7D1C"/>
    <w:multiLevelType w:val="singleLevel"/>
    <w:tmpl w:val="F46B7D1C"/>
    <w:lvl w:ilvl="0" w:tentative="0">
      <w:start w:val="1"/>
      <w:numFmt w:val="decimal"/>
      <w:suff w:val="nothing"/>
      <w:lvlText w:val="%1）"/>
      <w:lvlJc w:val="left"/>
    </w:lvl>
  </w:abstractNum>
  <w:abstractNum w:abstractNumId="41">
    <w:nsid w:val="F4F8D52E"/>
    <w:multiLevelType w:val="singleLevel"/>
    <w:tmpl w:val="F4F8D52E"/>
    <w:lvl w:ilvl="0" w:tentative="0">
      <w:start w:val="1"/>
      <w:numFmt w:val="decimal"/>
      <w:lvlText w:val="(%1)"/>
      <w:lvlJc w:val="left"/>
      <w:pPr>
        <w:ind w:left="425" w:hanging="425"/>
      </w:pPr>
      <w:rPr>
        <w:rFonts w:hint="default"/>
      </w:rPr>
    </w:lvl>
  </w:abstractNum>
  <w:abstractNum w:abstractNumId="42">
    <w:nsid w:val="FA0C5117"/>
    <w:multiLevelType w:val="singleLevel"/>
    <w:tmpl w:val="FA0C5117"/>
    <w:lvl w:ilvl="0" w:tentative="0">
      <w:start w:val="1"/>
      <w:numFmt w:val="decimal"/>
      <w:suff w:val="nothing"/>
      <w:lvlText w:val="%1、"/>
      <w:lvlJc w:val="left"/>
    </w:lvl>
  </w:abstractNum>
  <w:abstractNum w:abstractNumId="43">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33"/>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44">
    <w:nsid w:val="00C8B352"/>
    <w:multiLevelType w:val="singleLevel"/>
    <w:tmpl w:val="00C8B352"/>
    <w:lvl w:ilvl="0" w:tentative="0">
      <w:start w:val="1"/>
      <w:numFmt w:val="decimal"/>
      <w:suff w:val="nothing"/>
      <w:lvlText w:val="%1、"/>
      <w:lvlJc w:val="left"/>
    </w:lvl>
  </w:abstractNum>
  <w:abstractNum w:abstractNumId="45">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6">
    <w:nsid w:val="0473A6CC"/>
    <w:multiLevelType w:val="singleLevel"/>
    <w:tmpl w:val="0473A6CC"/>
    <w:lvl w:ilvl="0" w:tentative="0">
      <w:start w:val="1"/>
      <w:numFmt w:val="decimal"/>
      <w:lvlText w:val="(%1)"/>
      <w:lvlJc w:val="left"/>
      <w:pPr>
        <w:ind w:left="425" w:hanging="425"/>
      </w:pPr>
      <w:rPr>
        <w:rFonts w:hint="default"/>
      </w:rPr>
    </w:lvl>
  </w:abstractNum>
  <w:abstractNum w:abstractNumId="47">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48">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9">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50">
    <w:nsid w:val="12E420A9"/>
    <w:multiLevelType w:val="singleLevel"/>
    <w:tmpl w:val="12E420A9"/>
    <w:lvl w:ilvl="0" w:tentative="0">
      <w:start w:val="1"/>
      <w:numFmt w:val="decimal"/>
      <w:lvlText w:val="(%1)"/>
      <w:lvlJc w:val="left"/>
      <w:pPr>
        <w:ind w:left="425" w:hanging="425"/>
      </w:pPr>
      <w:rPr>
        <w:rFonts w:hint="default"/>
      </w:rPr>
    </w:lvl>
  </w:abstractNum>
  <w:abstractNum w:abstractNumId="51">
    <w:nsid w:val="14539B18"/>
    <w:multiLevelType w:val="singleLevel"/>
    <w:tmpl w:val="14539B18"/>
    <w:lvl w:ilvl="0" w:tentative="0">
      <w:start w:val="1"/>
      <w:numFmt w:val="decimal"/>
      <w:lvlText w:val="(%1)"/>
      <w:lvlJc w:val="left"/>
      <w:pPr>
        <w:ind w:left="425" w:hanging="425"/>
      </w:pPr>
      <w:rPr>
        <w:rFonts w:hint="default"/>
      </w:rPr>
    </w:lvl>
  </w:abstractNum>
  <w:abstractNum w:abstractNumId="52">
    <w:nsid w:val="175E6E07"/>
    <w:multiLevelType w:val="singleLevel"/>
    <w:tmpl w:val="175E6E07"/>
    <w:lvl w:ilvl="0" w:tentative="0">
      <w:start w:val="1"/>
      <w:numFmt w:val="decimal"/>
      <w:lvlText w:val="(%1)"/>
      <w:lvlJc w:val="left"/>
      <w:pPr>
        <w:ind w:left="425" w:hanging="425"/>
      </w:pPr>
      <w:rPr>
        <w:rFonts w:hint="default"/>
      </w:rPr>
    </w:lvl>
  </w:abstractNum>
  <w:abstractNum w:abstractNumId="53">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4">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55">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56">
    <w:nsid w:val="33C14EAA"/>
    <w:multiLevelType w:val="singleLevel"/>
    <w:tmpl w:val="33C14EAA"/>
    <w:lvl w:ilvl="0" w:tentative="0">
      <w:start w:val="1"/>
      <w:numFmt w:val="decimal"/>
      <w:suff w:val="nothing"/>
      <w:lvlText w:val="%1．"/>
      <w:lvlJc w:val="left"/>
      <w:pPr>
        <w:ind w:left="0" w:firstLine="400"/>
      </w:pPr>
      <w:rPr>
        <w:rFonts w:hint="default"/>
      </w:rPr>
    </w:lvl>
  </w:abstractNum>
  <w:abstractNum w:abstractNumId="57">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58">
    <w:nsid w:val="3702A3A3"/>
    <w:multiLevelType w:val="singleLevel"/>
    <w:tmpl w:val="3702A3A3"/>
    <w:lvl w:ilvl="0" w:tentative="0">
      <w:start w:val="1"/>
      <w:numFmt w:val="chineseCounting"/>
      <w:suff w:val="nothing"/>
      <w:lvlText w:val="%1、"/>
      <w:lvlJc w:val="left"/>
      <w:rPr>
        <w:rFonts w:hint="eastAsia"/>
      </w:rPr>
    </w:lvl>
  </w:abstractNum>
  <w:abstractNum w:abstractNumId="59">
    <w:nsid w:val="380575DC"/>
    <w:multiLevelType w:val="singleLevel"/>
    <w:tmpl w:val="380575DC"/>
    <w:lvl w:ilvl="0" w:tentative="0">
      <w:start w:val="1"/>
      <w:numFmt w:val="decimal"/>
      <w:lvlText w:val="(%1)"/>
      <w:lvlJc w:val="left"/>
      <w:pPr>
        <w:ind w:left="425" w:hanging="425"/>
      </w:pPr>
      <w:rPr>
        <w:rFonts w:hint="default"/>
      </w:rPr>
    </w:lvl>
  </w:abstractNum>
  <w:abstractNum w:abstractNumId="60">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1">
    <w:nsid w:val="405423A0"/>
    <w:multiLevelType w:val="singleLevel"/>
    <w:tmpl w:val="405423A0"/>
    <w:lvl w:ilvl="0" w:tentative="0">
      <w:start w:val="1"/>
      <w:numFmt w:val="decimal"/>
      <w:lvlText w:val="(%1)"/>
      <w:lvlJc w:val="left"/>
      <w:pPr>
        <w:ind w:left="425" w:hanging="425"/>
      </w:pPr>
      <w:rPr>
        <w:rFonts w:hint="default"/>
      </w:rPr>
    </w:lvl>
  </w:abstractNum>
  <w:abstractNum w:abstractNumId="62">
    <w:nsid w:val="40EB65EB"/>
    <w:multiLevelType w:val="singleLevel"/>
    <w:tmpl w:val="40EB65EB"/>
    <w:lvl w:ilvl="0" w:tentative="0">
      <w:start w:val="1"/>
      <w:numFmt w:val="decimal"/>
      <w:suff w:val="nothing"/>
      <w:lvlText w:val="%1、"/>
      <w:lvlJc w:val="left"/>
    </w:lvl>
  </w:abstractNum>
  <w:abstractNum w:abstractNumId="63">
    <w:nsid w:val="457B632F"/>
    <w:multiLevelType w:val="singleLevel"/>
    <w:tmpl w:val="457B632F"/>
    <w:lvl w:ilvl="0" w:tentative="0">
      <w:start w:val="1"/>
      <w:numFmt w:val="decimal"/>
      <w:lvlText w:val="(%1)"/>
      <w:lvlJc w:val="left"/>
      <w:pPr>
        <w:ind w:left="425" w:hanging="425"/>
      </w:pPr>
      <w:rPr>
        <w:rFonts w:hint="default"/>
      </w:rPr>
    </w:lvl>
  </w:abstractNum>
  <w:abstractNum w:abstractNumId="64">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5">
    <w:nsid w:val="46CA6916"/>
    <w:multiLevelType w:val="singleLevel"/>
    <w:tmpl w:val="46CA6916"/>
    <w:lvl w:ilvl="0" w:tentative="0">
      <w:start w:val="1"/>
      <w:numFmt w:val="decimal"/>
      <w:lvlText w:val="%1."/>
      <w:lvlJc w:val="left"/>
      <w:pPr>
        <w:ind w:left="425" w:hanging="425"/>
      </w:pPr>
      <w:rPr>
        <w:rFonts w:hint="default"/>
        <w:sz w:val="44"/>
        <w:szCs w:val="44"/>
      </w:rPr>
    </w:lvl>
  </w:abstractNum>
  <w:abstractNum w:abstractNumId="66">
    <w:nsid w:val="47D6BAB8"/>
    <w:multiLevelType w:val="singleLevel"/>
    <w:tmpl w:val="47D6BAB8"/>
    <w:lvl w:ilvl="0" w:tentative="0">
      <w:start w:val="1"/>
      <w:numFmt w:val="decimal"/>
      <w:lvlText w:val="%1."/>
      <w:lvlJc w:val="left"/>
      <w:pPr>
        <w:ind w:left="425" w:hanging="425"/>
      </w:pPr>
      <w:rPr>
        <w:rFonts w:hint="default"/>
      </w:rPr>
    </w:lvl>
  </w:abstractNum>
  <w:abstractNum w:abstractNumId="67">
    <w:nsid w:val="49B75E98"/>
    <w:multiLevelType w:val="singleLevel"/>
    <w:tmpl w:val="49B75E98"/>
    <w:lvl w:ilvl="0" w:tentative="0">
      <w:start w:val="1"/>
      <w:numFmt w:val="decimal"/>
      <w:lvlText w:val="(%1)"/>
      <w:lvlJc w:val="left"/>
      <w:pPr>
        <w:ind w:left="425" w:hanging="425"/>
      </w:pPr>
      <w:rPr>
        <w:rFonts w:hint="default"/>
      </w:rPr>
    </w:lvl>
  </w:abstractNum>
  <w:abstractNum w:abstractNumId="68">
    <w:nsid w:val="4DCAC903"/>
    <w:multiLevelType w:val="singleLevel"/>
    <w:tmpl w:val="4DCAC903"/>
    <w:lvl w:ilvl="0" w:tentative="0">
      <w:start w:val="1"/>
      <w:numFmt w:val="chineseCounting"/>
      <w:suff w:val="nothing"/>
      <w:lvlText w:val="%1、"/>
      <w:lvlJc w:val="left"/>
      <w:pPr>
        <w:ind w:left="-420" w:firstLine="420"/>
      </w:pPr>
      <w:rPr>
        <w:rFonts w:hint="eastAsia"/>
      </w:rPr>
    </w:lvl>
  </w:abstractNum>
  <w:abstractNum w:abstractNumId="69">
    <w:nsid w:val="54E57D58"/>
    <w:multiLevelType w:val="singleLevel"/>
    <w:tmpl w:val="54E57D58"/>
    <w:lvl w:ilvl="0" w:tentative="0">
      <w:start w:val="1"/>
      <w:numFmt w:val="chineseCounting"/>
      <w:suff w:val="space"/>
      <w:lvlText w:val="%1、"/>
      <w:lvlJc w:val="left"/>
      <w:rPr>
        <w:rFonts w:hint="eastAsia"/>
      </w:rPr>
    </w:lvl>
  </w:abstractNum>
  <w:abstractNum w:abstractNumId="70">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71">
    <w:nsid w:val="5CEB73EF"/>
    <w:multiLevelType w:val="singleLevel"/>
    <w:tmpl w:val="5CEB73EF"/>
    <w:lvl w:ilvl="0" w:tentative="0">
      <w:start w:val="1"/>
      <w:numFmt w:val="decimal"/>
      <w:lvlText w:val="%1."/>
      <w:lvlJc w:val="left"/>
      <w:pPr>
        <w:ind w:left="425" w:hanging="425"/>
      </w:pPr>
      <w:rPr>
        <w:rFonts w:hint="default"/>
        <w:sz w:val="44"/>
        <w:szCs w:val="44"/>
      </w:rPr>
    </w:lvl>
  </w:abstractNum>
  <w:abstractNum w:abstractNumId="72">
    <w:nsid w:val="5F79E21E"/>
    <w:multiLevelType w:val="singleLevel"/>
    <w:tmpl w:val="5F79E21E"/>
    <w:lvl w:ilvl="0" w:tentative="0">
      <w:start w:val="1"/>
      <w:numFmt w:val="decimal"/>
      <w:lvlText w:val="(%1)"/>
      <w:lvlJc w:val="left"/>
      <w:pPr>
        <w:ind w:left="425" w:hanging="425"/>
      </w:pPr>
      <w:rPr>
        <w:rFonts w:hint="default"/>
      </w:rPr>
    </w:lvl>
  </w:abstractNum>
  <w:abstractNum w:abstractNumId="73">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74">
    <w:nsid w:val="60EA63B9"/>
    <w:multiLevelType w:val="multilevel"/>
    <w:tmpl w:val="60EA63B9"/>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5">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76">
    <w:nsid w:val="6F7393ED"/>
    <w:multiLevelType w:val="singleLevel"/>
    <w:tmpl w:val="6F7393ED"/>
    <w:lvl w:ilvl="0" w:tentative="0">
      <w:start w:val="1"/>
      <w:numFmt w:val="decimal"/>
      <w:suff w:val="nothing"/>
      <w:lvlText w:val="%1、"/>
      <w:lvlJc w:val="left"/>
    </w:lvl>
  </w:abstractNum>
  <w:abstractNum w:abstractNumId="77">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78">
    <w:nsid w:val="7B73BFB9"/>
    <w:multiLevelType w:val="singleLevel"/>
    <w:tmpl w:val="7B73BFB9"/>
    <w:lvl w:ilvl="0" w:tentative="0">
      <w:start w:val="1"/>
      <w:numFmt w:val="decimal"/>
      <w:lvlText w:val="%1)"/>
      <w:lvlJc w:val="left"/>
      <w:pPr>
        <w:tabs>
          <w:tab w:val="left" w:pos="420"/>
        </w:tabs>
        <w:ind w:left="845" w:hanging="425"/>
      </w:pPr>
      <w:rPr>
        <w:rFonts w:hint="default"/>
      </w:rPr>
    </w:lvl>
  </w:abstractNum>
  <w:num w:numId="1">
    <w:abstractNumId w:val="43"/>
  </w:num>
  <w:num w:numId="2">
    <w:abstractNumId w:val="58"/>
  </w:num>
  <w:num w:numId="3">
    <w:abstractNumId w:val="37"/>
  </w:num>
  <w:num w:numId="4">
    <w:abstractNumId w:val="35"/>
  </w:num>
  <w:num w:numId="5">
    <w:abstractNumId w:val="59"/>
  </w:num>
  <w:num w:numId="6">
    <w:abstractNumId w:val="22"/>
  </w:num>
  <w:num w:numId="7">
    <w:abstractNumId w:val="1"/>
  </w:num>
  <w:num w:numId="8">
    <w:abstractNumId w:val="45"/>
  </w:num>
  <w:num w:numId="9">
    <w:abstractNumId w:val="0"/>
  </w:num>
  <w:num w:numId="10">
    <w:abstractNumId w:val="78"/>
  </w:num>
  <w:num w:numId="11">
    <w:abstractNumId w:val="26"/>
  </w:num>
  <w:num w:numId="12">
    <w:abstractNumId w:val="27"/>
  </w:num>
  <w:num w:numId="13">
    <w:abstractNumId w:val="29"/>
  </w:num>
  <w:num w:numId="14">
    <w:abstractNumId w:val="56"/>
  </w:num>
  <w:num w:numId="15">
    <w:abstractNumId w:val="21"/>
  </w:num>
  <w:num w:numId="16">
    <w:abstractNumId w:val="42"/>
  </w:num>
  <w:num w:numId="17">
    <w:abstractNumId w:val="44"/>
  </w:num>
  <w:num w:numId="18">
    <w:abstractNumId w:val="5"/>
  </w:num>
  <w:num w:numId="19">
    <w:abstractNumId w:val="46"/>
  </w:num>
  <w:num w:numId="20">
    <w:abstractNumId w:val="36"/>
  </w:num>
  <w:num w:numId="21">
    <w:abstractNumId w:val="74"/>
  </w:num>
  <w:num w:numId="22">
    <w:abstractNumId w:val="12"/>
  </w:num>
  <w:num w:numId="23">
    <w:abstractNumId w:val="61"/>
  </w:num>
  <w:num w:numId="24">
    <w:abstractNumId w:val="52"/>
  </w:num>
  <w:num w:numId="25">
    <w:abstractNumId w:val="6"/>
  </w:num>
  <w:num w:numId="26">
    <w:abstractNumId w:val="34"/>
  </w:num>
  <w:num w:numId="27">
    <w:abstractNumId w:val="32"/>
  </w:num>
  <w:num w:numId="28">
    <w:abstractNumId w:val="25"/>
  </w:num>
  <w:num w:numId="29">
    <w:abstractNumId w:val="9"/>
  </w:num>
  <w:num w:numId="30">
    <w:abstractNumId w:val="72"/>
  </w:num>
  <w:num w:numId="31">
    <w:abstractNumId w:val="67"/>
  </w:num>
  <w:num w:numId="32">
    <w:abstractNumId w:val="4"/>
  </w:num>
  <w:num w:numId="33">
    <w:abstractNumId w:val="19"/>
  </w:num>
  <w:num w:numId="34">
    <w:abstractNumId w:val="30"/>
  </w:num>
  <w:num w:numId="35">
    <w:abstractNumId w:val="3"/>
  </w:num>
  <w:num w:numId="36">
    <w:abstractNumId w:val="13"/>
  </w:num>
  <w:num w:numId="37">
    <w:abstractNumId w:val="16"/>
  </w:num>
  <w:num w:numId="38">
    <w:abstractNumId w:val="41"/>
  </w:num>
  <w:num w:numId="39">
    <w:abstractNumId w:val="20"/>
  </w:num>
  <w:num w:numId="40">
    <w:abstractNumId w:val="8"/>
  </w:num>
  <w:num w:numId="41">
    <w:abstractNumId w:val="51"/>
  </w:num>
  <w:num w:numId="42">
    <w:abstractNumId w:val="63"/>
  </w:num>
  <w:num w:numId="43">
    <w:abstractNumId w:val="50"/>
  </w:num>
  <w:num w:numId="44">
    <w:abstractNumId w:val="68"/>
  </w:num>
  <w:num w:numId="45">
    <w:abstractNumId w:val="55"/>
  </w:num>
  <w:num w:numId="46">
    <w:abstractNumId w:val="70"/>
  </w:num>
  <w:num w:numId="47">
    <w:abstractNumId w:val="60"/>
  </w:num>
  <w:num w:numId="48">
    <w:abstractNumId w:val="24"/>
  </w:num>
  <w:num w:numId="49">
    <w:abstractNumId w:val="57"/>
  </w:num>
  <w:num w:numId="50">
    <w:abstractNumId w:val="28"/>
  </w:num>
  <w:num w:numId="51">
    <w:abstractNumId w:val="49"/>
  </w:num>
  <w:num w:numId="52">
    <w:abstractNumId w:val="53"/>
  </w:num>
  <w:num w:numId="53">
    <w:abstractNumId w:val="33"/>
  </w:num>
  <w:num w:numId="54">
    <w:abstractNumId w:val="31"/>
  </w:num>
  <w:num w:numId="55">
    <w:abstractNumId w:val="15"/>
  </w:num>
  <w:num w:numId="56">
    <w:abstractNumId w:val="11"/>
  </w:num>
  <w:num w:numId="57">
    <w:abstractNumId w:val="47"/>
  </w:num>
  <w:num w:numId="58">
    <w:abstractNumId w:val="77"/>
  </w:num>
  <w:num w:numId="59">
    <w:abstractNumId w:val="73"/>
  </w:num>
  <w:num w:numId="60">
    <w:abstractNumId w:val="18"/>
  </w:num>
  <w:num w:numId="61">
    <w:abstractNumId w:val="48"/>
  </w:num>
  <w:num w:numId="62">
    <w:abstractNumId w:val="40"/>
  </w:num>
  <w:num w:numId="63">
    <w:abstractNumId w:val="64"/>
  </w:num>
  <w:num w:numId="64">
    <w:abstractNumId w:val="54"/>
  </w:num>
  <w:num w:numId="65">
    <w:abstractNumId w:val="69"/>
  </w:num>
  <w:num w:numId="66">
    <w:abstractNumId w:val="71"/>
  </w:num>
  <w:num w:numId="67">
    <w:abstractNumId w:val="65"/>
  </w:num>
  <w:num w:numId="68">
    <w:abstractNumId w:val="2"/>
  </w:num>
  <w:num w:numId="69">
    <w:abstractNumId w:val="75"/>
  </w:num>
  <w:num w:numId="70">
    <w:abstractNumId w:val="38"/>
  </w:num>
  <w:num w:numId="71">
    <w:abstractNumId w:val="76"/>
  </w:num>
  <w:num w:numId="72">
    <w:abstractNumId w:val="66"/>
  </w:num>
  <w:num w:numId="73">
    <w:abstractNumId w:val="39"/>
  </w:num>
  <w:num w:numId="74">
    <w:abstractNumId w:val="14"/>
  </w:num>
  <w:num w:numId="75">
    <w:abstractNumId w:val="10"/>
  </w:num>
  <w:num w:numId="76">
    <w:abstractNumId w:val="23"/>
  </w:num>
  <w:num w:numId="77">
    <w:abstractNumId w:val="17"/>
  </w:num>
  <w:num w:numId="78">
    <w:abstractNumId w:val="7"/>
  </w:num>
  <w:num w:numId="79">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CE04AD"/>
    <w:rsid w:val="010371A3"/>
    <w:rsid w:val="01467499"/>
    <w:rsid w:val="015B486D"/>
    <w:rsid w:val="01726A32"/>
    <w:rsid w:val="01A22725"/>
    <w:rsid w:val="01C62F2B"/>
    <w:rsid w:val="01DC2F7B"/>
    <w:rsid w:val="02804EAF"/>
    <w:rsid w:val="02847105"/>
    <w:rsid w:val="02CE3596"/>
    <w:rsid w:val="02EA5CD1"/>
    <w:rsid w:val="03084250"/>
    <w:rsid w:val="032B34AE"/>
    <w:rsid w:val="03390216"/>
    <w:rsid w:val="036164B2"/>
    <w:rsid w:val="03927943"/>
    <w:rsid w:val="03A40EB6"/>
    <w:rsid w:val="03B17CB6"/>
    <w:rsid w:val="03D32BC2"/>
    <w:rsid w:val="041E5A19"/>
    <w:rsid w:val="04404C8C"/>
    <w:rsid w:val="045A2503"/>
    <w:rsid w:val="04795896"/>
    <w:rsid w:val="049C1169"/>
    <w:rsid w:val="04D473B5"/>
    <w:rsid w:val="05164A87"/>
    <w:rsid w:val="052E780F"/>
    <w:rsid w:val="052F4768"/>
    <w:rsid w:val="054E1E94"/>
    <w:rsid w:val="05A226EF"/>
    <w:rsid w:val="05AC6FA7"/>
    <w:rsid w:val="06226143"/>
    <w:rsid w:val="06564549"/>
    <w:rsid w:val="067E540B"/>
    <w:rsid w:val="06844253"/>
    <w:rsid w:val="06BC2E5D"/>
    <w:rsid w:val="071A70E8"/>
    <w:rsid w:val="072B5213"/>
    <w:rsid w:val="07A20A9B"/>
    <w:rsid w:val="07C214D7"/>
    <w:rsid w:val="07D514BA"/>
    <w:rsid w:val="07D6526C"/>
    <w:rsid w:val="07DE427B"/>
    <w:rsid w:val="07FF586C"/>
    <w:rsid w:val="080F65E1"/>
    <w:rsid w:val="0882539D"/>
    <w:rsid w:val="08906679"/>
    <w:rsid w:val="08956FBB"/>
    <w:rsid w:val="089801D8"/>
    <w:rsid w:val="08B31F98"/>
    <w:rsid w:val="0908184A"/>
    <w:rsid w:val="093046DF"/>
    <w:rsid w:val="09ED184E"/>
    <w:rsid w:val="09F81380"/>
    <w:rsid w:val="0A0B7CF4"/>
    <w:rsid w:val="0A0E011D"/>
    <w:rsid w:val="0A2D641B"/>
    <w:rsid w:val="0A432718"/>
    <w:rsid w:val="0A541551"/>
    <w:rsid w:val="0A6B449D"/>
    <w:rsid w:val="0AA20225"/>
    <w:rsid w:val="0AA33E79"/>
    <w:rsid w:val="0AAB7DB1"/>
    <w:rsid w:val="0B0D6C35"/>
    <w:rsid w:val="0B214D71"/>
    <w:rsid w:val="0B2B21D7"/>
    <w:rsid w:val="0B455E22"/>
    <w:rsid w:val="0B7466D9"/>
    <w:rsid w:val="0B946B45"/>
    <w:rsid w:val="0BB8294D"/>
    <w:rsid w:val="0BBD4714"/>
    <w:rsid w:val="0BCD051B"/>
    <w:rsid w:val="0BF977F7"/>
    <w:rsid w:val="0C0421A9"/>
    <w:rsid w:val="0C3158EE"/>
    <w:rsid w:val="0C7D365C"/>
    <w:rsid w:val="0CB14917"/>
    <w:rsid w:val="0CC010DE"/>
    <w:rsid w:val="0D1C0429"/>
    <w:rsid w:val="0D1C45FA"/>
    <w:rsid w:val="0D9B74B7"/>
    <w:rsid w:val="0DB54C6D"/>
    <w:rsid w:val="0DBA4FFD"/>
    <w:rsid w:val="0E1E0839"/>
    <w:rsid w:val="0E9175B2"/>
    <w:rsid w:val="0EB10DEE"/>
    <w:rsid w:val="0F093DE0"/>
    <w:rsid w:val="0F6E2841"/>
    <w:rsid w:val="0FA31BD0"/>
    <w:rsid w:val="103D38D1"/>
    <w:rsid w:val="105A31A2"/>
    <w:rsid w:val="108666F5"/>
    <w:rsid w:val="10CE2305"/>
    <w:rsid w:val="10E91988"/>
    <w:rsid w:val="10E94C5F"/>
    <w:rsid w:val="111D4FAF"/>
    <w:rsid w:val="115A2E7B"/>
    <w:rsid w:val="11A17923"/>
    <w:rsid w:val="11A656B7"/>
    <w:rsid w:val="11DA528C"/>
    <w:rsid w:val="12167A4D"/>
    <w:rsid w:val="125D719A"/>
    <w:rsid w:val="126B23C4"/>
    <w:rsid w:val="12817903"/>
    <w:rsid w:val="129A2723"/>
    <w:rsid w:val="12DD1436"/>
    <w:rsid w:val="13512764"/>
    <w:rsid w:val="135841C7"/>
    <w:rsid w:val="13C87773"/>
    <w:rsid w:val="14183946"/>
    <w:rsid w:val="147F2BA1"/>
    <w:rsid w:val="14B9353A"/>
    <w:rsid w:val="1505697B"/>
    <w:rsid w:val="154F0CA1"/>
    <w:rsid w:val="156D1D9D"/>
    <w:rsid w:val="15B62017"/>
    <w:rsid w:val="15C64A95"/>
    <w:rsid w:val="15C75949"/>
    <w:rsid w:val="15D16880"/>
    <w:rsid w:val="16007AB2"/>
    <w:rsid w:val="166A4586"/>
    <w:rsid w:val="16932DAA"/>
    <w:rsid w:val="17012110"/>
    <w:rsid w:val="17081ED5"/>
    <w:rsid w:val="17271C14"/>
    <w:rsid w:val="172D64A6"/>
    <w:rsid w:val="1774042C"/>
    <w:rsid w:val="18347E18"/>
    <w:rsid w:val="18C86D05"/>
    <w:rsid w:val="18F70D81"/>
    <w:rsid w:val="193B287C"/>
    <w:rsid w:val="19422845"/>
    <w:rsid w:val="19732D86"/>
    <w:rsid w:val="19815ED0"/>
    <w:rsid w:val="198968AC"/>
    <w:rsid w:val="1A1513DC"/>
    <w:rsid w:val="1A394300"/>
    <w:rsid w:val="1A595D79"/>
    <w:rsid w:val="1A5C2C40"/>
    <w:rsid w:val="1A9409D5"/>
    <w:rsid w:val="1ADC7142"/>
    <w:rsid w:val="1AE37C4E"/>
    <w:rsid w:val="1B137389"/>
    <w:rsid w:val="1B191394"/>
    <w:rsid w:val="1B214D36"/>
    <w:rsid w:val="1B5A4CEA"/>
    <w:rsid w:val="1BE773AC"/>
    <w:rsid w:val="1BF522B5"/>
    <w:rsid w:val="1C123812"/>
    <w:rsid w:val="1C2941AA"/>
    <w:rsid w:val="1C2A5889"/>
    <w:rsid w:val="1C3A1EE3"/>
    <w:rsid w:val="1C603956"/>
    <w:rsid w:val="1D330E31"/>
    <w:rsid w:val="1D38376D"/>
    <w:rsid w:val="1D5A107E"/>
    <w:rsid w:val="1D8A2FB9"/>
    <w:rsid w:val="1D96226D"/>
    <w:rsid w:val="1DBD78E5"/>
    <w:rsid w:val="1DC307F5"/>
    <w:rsid w:val="1DDC7057"/>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413129"/>
    <w:rsid w:val="204F3B10"/>
    <w:rsid w:val="206474A2"/>
    <w:rsid w:val="206D2096"/>
    <w:rsid w:val="20C30639"/>
    <w:rsid w:val="20D3350F"/>
    <w:rsid w:val="20F44769"/>
    <w:rsid w:val="22002AF9"/>
    <w:rsid w:val="220415A1"/>
    <w:rsid w:val="22163011"/>
    <w:rsid w:val="223E5B7B"/>
    <w:rsid w:val="2255769E"/>
    <w:rsid w:val="22571CC7"/>
    <w:rsid w:val="229F2BD6"/>
    <w:rsid w:val="22CC6367"/>
    <w:rsid w:val="2323325A"/>
    <w:rsid w:val="23332AFF"/>
    <w:rsid w:val="233E12EA"/>
    <w:rsid w:val="236B6EB3"/>
    <w:rsid w:val="241F4E53"/>
    <w:rsid w:val="244C764C"/>
    <w:rsid w:val="245D5C24"/>
    <w:rsid w:val="246F1264"/>
    <w:rsid w:val="24741F53"/>
    <w:rsid w:val="24BF62B4"/>
    <w:rsid w:val="24C345B1"/>
    <w:rsid w:val="24CA06C2"/>
    <w:rsid w:val="260E0788"/>
    <w:rsid w:val="261C32DC"/>
    <w:rsid w:val="265768C1"/>
    <w:rsid w:val="26587A9A"/>
    <w:rsid w:val="268E50C1"/>
    <w:rsid w:val="26C60546"/>
    <w:rsid w:val="26F216C2"/>
    <w:rsid w:val="270B15D4"/>
    <w:rsid w:val="272702F2"/>
    <w:rsid w:val="27445CE4"/>
    <w:rsid w:val="27577E78"/>
    <w:rsid w:val="279A7D67"/>
    <w:rsid w:val="27B253AF"/>
    <w:rsid w:val="27EC00CE"/>
    <w:rsid w:val="27F04C64"/>
    <w:rsid w:val="27FB5AD9"/>
    <w:rsid w:val="281F6CA0"/>
    <w:rsid w:val="282840C7"/>
    <w:rsid w:val="283A3566"/>
    <w:rsid w:val="28475E7E"/>
    <w:rsid w:val="284A1FD0"/>
    <w:rsid w:val="28602A63"/>
    <w:rsid w:val="287B527A"/>
    <w:rsid w:val="2890187C"/>
    <w:rsid w:val="28F82EBC"/>
    <w:rsid w:val="29485450"/>
    <w:rsid w:val="295515A3"/>
    <w:rsid w:val="29584EC8"/>
    <w:rsid w:val="29CA32F7"/>
    <w:rsid w:val="29E108A9"/>
    <w:rsid w:val="2A823F64"/>
    <w:rsid w:val="2AAE59D3"/>
    <w:rsid w:val="2ABF60C0"/>
    <w:rsid w:val="2AC80DE7"/>
    <w:rsid w:val="2ACF0213"/>
    <w:rsid w:val="2AEE77B3"/>
    <w:rsid w:val="2B146A76"/>
    <w:rsid w:val="2B412A9C"/>
    <w:rsid w:val="2B46206D"/>
    <w:rsid w:val="2B5777B6"/>
    <w:rsid w:val="2B8E1990"/>
    <w:rsid w:val="2BA456FE"/>
    <w:rsid w:val="2BEE5B6C"/>
    <w:rsid w:val="2C4A5DEE"/>
    <w:rsid w:val="2C8655F4"/>
    <w:rsid w:val="2C903ED7"/>
    <w:rsid w:val="2C915955"/>
    <w:rsid w:val="2CEA7868"/>
    <w:rsid w:val="2CF80241"/>
    <w:rsid w:val="2D036647"/>
    <w:rsid w:val="2D1B73E6"/>
    <w:rsid w:val="2DA31217"/>
    <w:rsid w:val="2DE44FB6"/>
    <w:rsid w:val="2DFE3D05"/>
    <w:rsid w:val="2E176C7E"/>
    <w:rsid w:val="2E2959A0"/>
    <w:rsid w:val="2E4D0D88"/>
    <w:rsid w:val="2E6E1562"/>
    <w:rsid w:val="2E784430"/>
    <w:rsid w:val="2E7B2593"/>
    <w:rsid w:val="2E8E489C"/>
    <w:rsid w:val="2EC46369"/>
    <w:rsid w:val="2ED0406E"/>
    <w:rsid w:val="2F057F0D"/>
    <w:rsid w:val="2F6534D3"/>
    <w:rsid w:val="2F6D49D1"/>
    <w:rsid w:val="2F9024D5"/>
    <w:rsid w:val="2F916313"/>
    <w:rsid w:val="2FBD4D13"/>
    <w:rsid w:val="30506792"/>
    <w:rsid w:val="308E197E"/>
    <w:rsid w:val="30B274F2"/>
    <w:rsid w:val="30BF59F1"/>
    <w:rsid w:val="30DC5C3C"/>
    <w:rsid w:val="30E90F55"/>
    <w:rsid w:val="31282218"/>
    <w:rsid w:val="31437C92"/>
    <w:rsid w:val="315D7B06"/>
    <w:rsid w:val="31663CA3"/>
    <w:rsid w:val="31726E79"/>
    <w:rsid w:val="31896816"/>
    <w:rsid w:val="318E62CA"/>
    <w:rsid w:val="319704F8"/>
    <w:rsid w:val="31BB3DF9"/>
    <w:rsid w:val="31C43C21"/>
    <w:rsid w:val="31DA3524"/>
    <w:rsid w:val="31E83B58"/>
    <w:rsid w:val="31FC6649"/>
    <w:rsid w:val="320324B3"/>
    <w:rsid w:val="32183E25"/>
    <w:rsid w:val="32196C68"/>
    <w:rsid w:val="325705B0"/>
    <w:rsid w:val="325D64AF"/>
    <w:rsid w:val="32885287"/>
    <w:rsid w:val="32A748BE"/>
    <w:rsid w:val="32BC718E"/>
    <w:rsid w:val="32ED5589"/>
    <w:rsid w:val="32F0373B"/>
    <w:rsid w:val="33227DAA"/>
    <w:rsid w:val="33443BCA"/>
    <w:rsid w:val="33856582"/>
    <w:rsid w:val="338E24CA"/>
    <w:rsid w:val="339F475C"/>
    <w:rsid w:val="341D1F3B"/>
    <w:rsid w:val="347E1245"/>
    <w:rsid w:val="34A74955"/>
    <w:rsid w:val="353B029A"/>
    <w:rsid w:val="354B2FDB"/>
    <w:rsid w:val="354E52E6"/>
    <w:rsid w:val="356751D9"/>
    <w:rsid w:val="357B7045"/>
    <w:rsid w:val="358C4D11"/>
    <w:rsid w:val="35A344BE"/>
    <w:rsid w:val="35AB0B75"/>
    <w:rsid w:val="35B60D62"/>
    <w:rsid w:val="35DA7FF9"/>
    <w:rsid w:val="35DD7F80"/>
    <w:rsid w:val="35E07D4F"/>
    <w:rsid w:val="361B28D6"/>
    <w:rsid w:val="361E7704"/>
    <w:rsid w:val="363A3BA0"/>
    <w:rsid w:val="368A5D9F"/>
    <w:rsid w:val="36971EB9"/>
    <w:rsid w:val="36C7303A"/>
    <w:rsid w:val="36E702E1"/>
    <w:rsid w:val="37113A08"/>
    <w:rsid w:val="377F1060"/>
    <w:rsid w:val="379A3573"/>
    <w:rsid w:val="37B0704E"/>
    <w:rsid w:val="37F22E40"/>
    <w:rsid w:val="380813C3"/>
    <w:rsid w:val="38234509"/>
    <w:rsid w:val="38505A86"/>
    <w:rsid w:val="38616237"/>
    <w:rsid w:val="386C32F2"/>
    <w:rsid w:val="386D4BD8"/>
    <w:rsid w:val="388B2624"/>
    <w:rsid w:val="390D387E"/>
    <w:rsid w:val="39F925AD"/>
    <w:rsid w:val="3A0E02F3"/>
    <w:rsid w:val="3A1F7591"/>
    <w:rsid w:val="3A3F6103"/>
    <w:rsid w:val="3A426DAB"/>
    <w:rsid w:val="3A53344D"/>
    <w:rsid w:val="3A611BA9"/>
    <w:rsid w:val="3A6977A4"/>
    <w:rsid w:val="3A6D363A"/>
    <w:rsid w:val="3A860F66"/>
    <w:rsid w:val="3A8B1791"/>
    <w:rsid w:val="3B492C24"/>
    <w:rsid w:val="3B517F66"/>
    <w:rsid w:val="3BC93ABF"/>
    <w:rsid w:val="3BCF6A9E"/>
    <w:rsid w:val="3BD0640F"/>
    <w:rsid w:val="3C3502BB"/>
    <w:rsid w:val="3C680890"/>
    <w:rsid w:val="3C875DAB"/>
    <w:rsid w:val="3C8E0166"/>
    <w:rsid w:val="3C9A6A0D"/>
    <w:rsid w:val="3CCE3EF4"/>
    <w:rsid w:val="3CCF1E09"/>
    <w:rsid w:val="3CE76ACB"/>
    <w:rsid w:val="3CF16ABC"/>
    <w:rsid w:val="3D0E58FB"/>
    <w:rsid w:val="3D111AEB"/>
    <w:rsid w:val="3D314871"/>
    <w:rsid w:val="3D9902B0"/>
    <w:rsid w:val="3DF77869"/>
    <w:rsid w:val="3DF85DAB"/>
    <w:rsid w:val="3DFA56F0"/>
    <w:rsid w:val="3E3B0641"/>
    <w:rsid w:val="3E3F17BF"/>
    <w:rsid w:val="3E7E6ED8"/>
    <w:rsid w:val="3EA779CF"/>
    <w:rsid w:val="3EBF6158"/>
    <w:rsid w:val="3EC73D73"/>
    <w:rsid w:val="3ED1136C"/>
    <w:rsid w:val="3ED62C2D"/>
    <w:rsid w:val="3F0C6DDD"/>
    <w:rsid w:val="3F2238E1"/>
    <w:rsid w:val="3FA604EC"/>
    <w:rsid w:val="3FC1767E"/>
    <w:rsid w:val="3FCC7919"/>
    <w:rsid w:val="3FFC6386"/>
    <w:rsid w:val="400E6807"/>
    <w:rsid w:val="403C0681"/>
    <w:rsid w:val="406C1954"/>
    <w:rsid w:val="407B3B9C"/>
    <w:rsid w:val="40CA7CCF"/>
    <w:rsid w:val="40FA1E7D"/>
    <w:rsid w:val="413333BF"/>
    <w:rsid w:val="416359DF"/>
    <w:rsid w:val="416C1C89"/>
    <w:rsid w:val="41C66851"/>
    <w:rsid w:val="41EA0EBD"/>
    <w:rsid w:val="41EC2ADA"/>
    <w:rsid w:val="41F752E8"/>
    <w:rsid w:val="420D1363"/>
    <w:rsid w:val="422E137F"/>
    <w:rsid w:val="4376603F"/>
    <w:rsid w:val="43795F94"/>
    <w:rsid w:val="4392793A"/>
    <w:rsid w:val="43A61EBD"/>
    <w:rsid w:val="43CE6C96"/>
    <w:rsid w:val="44066D34"/>
    <w:rsid w:val="444C5ED9"/>
    <w:rsid w:val="448D2A45"/>
    <w:rsid w:val="449C07D6"/>
    <w:rsid w:val="44E636FF"/>
    <w:rsid w:val="450F58B5"/>
    <w:rsid w:val="4535723A"/>
    <w:rsid w:val="45510941"/>
    <w:rsid w:val="456B6A33"/>
    <w:rsid w:val="45915315"/>
    <w:rsid w:val="45AA4DF1"/>
    <w:rsid w:val="45AB6DA2"/>
    <w:rsid w:val="45AD28FA"/>
    <w:rsid w:val="45D3368A"/>
    <w:rsid w:val="46153863"/>
    <w:rsid w:val="462B263C"/>
    <w:rsid w:val="46A64DB2"/>
    <w:rsid w:val="46F4219F"/>
    <w:rsid w:val="47764DFC"/>
    <w:rsid w:val="47E3365D"/>
    <w:rsid w:val="47FB4A3E"/>
    <w:rsid w:val="481D3670"/>
    <w:rsid w:val="48486B1C"/>
    <w:rsid w:val="48756F94"/>
    <w:rsid w:val="48874770"/>
    <w:rsid w:val="491173EB"/>
    <w:rsid w:val="49430C53"/>
    <w:rsid w:val="49903608"/>
    <w:rsid w:val="49AA1CE6"/>
    <w:rsid w:val="49E11574"/>
    <w:rsid w:val="4A220275"/>
    <w:rsid w:val="4AA66BEC"/>
    <w:rsid w:val="4AE271CF"/>
    <w:rsid w:val="4AE76F21"/>
    <w:rsid w:val="4AFE519B"/>
    <w:rsid w:val="4B037C74"/>
    <w:rsid w:val="4B3D7E85"/>
    <w:rsid w:val="4B496DCF"/>
    <w:rsid w:val="4B571947"/>
    <w:rsid w:val="4BC535D4"/>
    <w:rsid w:val="4BFD209A"/>
    <w:rsid w:val="4BFE7913"/>
    <w:rsid w:val="4C155EE8"/>
    <w:rsid w:val="4C2D08FA"/>
    <w:rsid w:val="4C4874E2"/>
    <w:rsid w:val="4C583C10"/>
    <w:rsid w:val="4C8D3219"/>
    <w:rsid w:val="4CB05E57"/>
    <w:rsid w:val="4D171751"/>
    <w:rsid w:val="4D3A7B19"/>
    <w:rsid w:val="4D481C35"/>
    <w:rsid w:val="4D841B8D"/>
    <w:rsid w:val="4D884EB7"/>
    <w:rsid w:val="4D9F3BD6"/>
    <w:rsid w:val="4E084FAF"/>
    <w:rsid w:val="4E120D67"/>
    <w:rsid w:val="4E157897"/>
    <w:rsid w:val="4E67288E"/>
    <w:rsid w:val="4E7D4550"/>
    <w:rsid w:val="4E9714AD"/>
    <w:rsid w:val="4EE22289"/>
    <w:rsid w:val="4EE9411A"/>
    <w:rsid w:val="4F141089"/>
    <w:rsid w:val="4F1A376E"/>
    <w:rsid w:val="4F9D4879"/>
    <w:rsid w:val="4F9E38E5"/>
    <w:rsid w:val="50602374"/>
    <w:rsid w:val="507C08EE"/>
    <w:rsid w:val="508048A2"/>
    <w:rsid w:val="5083021E"/>
    <w:rsid w:val="50A1505B"/>
    <w:rsid w:val="512522D1"/>
    <w:rsid w:val="518A32C1"/>
    <w:rsid w:val="51C07C78"/>
    <w:rsid w:val="51EB1458"/>
    <w:rsid w:val="522649B0"/>
    <w:rsid w:val="524135FD"/>
    <w:rsid w:val="52556011"/>
    <w:rsid w:val="52B7707E"/>
    <w:rsid w:val="5324215D"/>
    <w:rsid w:val="532836E9"/>
    <w:rsid w:val="53716762"/>
    <w:rsid w:val="537C55C4"/>
    <w:rsid w:val="53AF0612"/>
    <w:rsid w:val="53B50EDC"/>
    <w:rsid w:val="53D2557A"/>
    <w:rsid w:val="53D55CBA"/>
    <w:rsid w:val="53EE1FCD"/>
    <w:rsid w:val="5401180F"/>
    <w:rsid w:val="54017020"/>
    <w:rsid w:val="542145F0"/>
    <w:rsid w:val="547916E6"/>
    <w:rsid w:val="54C80264"/>
    <w:rsid w:val="55375A1D"/>
    <w:rsid w:val="55B42BBE"/>
    <w:rsid w:val="55B94EA8"/>
    <w:rsid w:val="55BC726F"/>
    <w:rsid w:val="55F01B2B"/>
    <w:rsid w:val="55F945A7"/>
    <w:rsid w:val="56161ACB"/>
    <w:rsid w:val="56486A5C"/>
    <w:rsid w:val="56771861"/>
    <w:rsid w:val="56D0050E"/>
    <w:rsid w:val="56E11927"/>
    <w:rsid w:val="56F47CFD"/>
    <w:rsid w:val="574C19DB"/>
    <w:rsid w:val="576405CC"/>
    <w:rsid w:val="57975CAB"/>
    <w:rsid w:val="57BC68FB"/>
    <w:rsid w:val="580D673C"/>
    <w:rsid w:val="580E4EE2"/>
    <w:rsid w:val="583077A8"/>
    <w:rsid w:val="586930C8"/>
    <w:rsid w:val="58753738"/>
    <w:rsid w:val="58965AE0"/>
    <w:rsid w:val="589A36DD"/>
    <w:rsid w:val="58D04DB5"/>
    <w:rsid w:val="58E778C2"/>
    <w:rsid w:val="590C3AC7"/>
    <w:rsid w:val="59133854"/>
    <w:rsid w:val="59235151"/>
    <w:rsid w:val="594828CF"/>
    <w:rsid w:val="594A43F9"/>
    <w:rsid w:val="59585C67"/>
    <w:rsid w:val="5974796C"/>
    <w:rsid w:val="59A229C8"/>
    <w:rsid w:val="59A86A3C"/>
    <w:rsid w:val="59C74AA1"/>
    <w:rsid w:val="59E71C58"/>
    <w:rsid w:val="59ED332B"/>
    <w:rsid w:val="5A0D5291"/>
    <w:rsid w:val="5A497B76"/>
    <w:rsid w:val="5A4C6CD9"/>
    <w:rsid w:val="5A68695E"/>
    <w:rsid w:val="5AB762E4"/>
    <w:rsid w:val="5B173D6D"/>
    <w:rsid w:val="5B3D1AB9"/>
    <w:rsid w:val="5B6F077C"/>
    <w:rsid w:val="5B7C3B31"/>
    <w:rsid w:val="5BA62712"/>
    <w:rsid w:val="5BAE2233"/>
    <w:rsid w:val="5BD50C7E"/>
    <w:rsid w:val="5BF93424"/>
    <w:rsid w:val="5C142CF3"/>
    <w:rsid w:val="5C3E0113"/>
    <w:rsid w:val="5C4161D5"/>
    <w:rsid w:val="5C561D57"/>
    <w:rsid w:val="5C6467F9"/>
    <w:rsid w:val="5C990FEE"/>
    <w:rsid w:val="5CF60894"/>
    <w:rsid w:val="5D2378DB"/>
    <w:rsid w:val="5D31022F"/>
    <w:rsid w:val="5D476FFB"/>
    <w:rsid w:val="5D5053C5"/>
    <w:rsid w:val="5D6A0727"/>
    <w:rsid w:val="5DC70367"/>
    <w:rsid w:val="5DD01996"/>
    <w:rsid w:val="5E0A7A36"/>
    <w:rsid w:val="5E0C4813"/>
    <w:rsid w:val="5E2C6811"/>
    <w:rsid w:val="5F19062F"/>
    <w:rsid w:val="5F241C7D"/>
    <w:rsid w:val="5F7B11B8"/>
    <w:rsid w:val="5FB22D8B"/>
    <w:rsid w:val="5FDC61CF"/>
    <w:rsid w:val="5FFA73C0"/>
    <w:rsid w:val="60163260"/>
    <w:rsid w:val="60517F91"/>
    <w:rsid w:val="606D1328"/>
    <w:rsid w:val="60A35A29"/>
    <w:rsid w:val="60E75F61"/>
    <w:rsid w:val="6103324D"/>
    <w:rsid w:val="61175156"/>
    <w:rsid w:val="6129176B"/>
    <w:rsid w:val="612E7085"/>
    <w:rsid w:val="61776BD8"/>
    <w:rsid w:val="618E0C02"/>
    <w:rsid w:val="61AC4FD1"/>
    <w:rsid w:val="61BB33F8"/>
    <w:rsid w:val="620C7C5A"/>
    <w:rsid w:val="621875CB"/>
    <w:rsid w:val="62196C40"/>
    <w:rsid w:val="623E3140"/>
    <w:rsid w:val="62710406"/>
    <w:rsid w:val="62930901"/>
    <w:rsid w:val="629E14D4"/>
    <w:rsid w:val="62F20C9B"/>
    <w:rsid w:val="62F7638E"/>
    <w:rsid w:val="6318370A"/>
    <w:rsid w:val="63394D22"/>
    <w:rsid w:val="633E367E"/>
    <w:rsid w:val="634A326F"/>
    <w:rsid w:val="635D68D7"/>
    <w:rsid w:val="638161D9"/>
    <w:rsid w:val="63EC5F3B"/>
    <w:rsid w:val="64A53594"/>
    <w:rsid w:val="64CF4865"/>
    <w:rsid w:val="64E41722"/>
    <w:rsid w:val="65025771"/>
    <w:rsid w:val="650600CC"/>
    <w:rsid w:val="658214C6"/>
    <w:rsid w:val="658862D4"/>
    <w:rsid w:val="660C430D"/>
    <w:rsid w:val="660E094E"/>
    <w:rsid w:val="664868A8"/>
    <w:rsid w:val="669607BC"/>
    <w:rsid w:val="66BE68C6"/>
    <w:rsid w:val="66C024D5"/>
    <w:rsid w:val="66D441BA"/>
    <w:rsid w:val="676958C7"/>
    <w:rsid w:val="677A00EC"/>
    <w:rsid w:val="67CD6E77"/>
    <w:rsid w:val="67D24D11"/>
    <w:rsid w:val="67DF62A2"/>
    <w:rsid w:val="67EF1CE2"/>
    <w:rsid w:val="67F97532"/>
    <w:rsid w:val="680C28A8"/>
    <w:rsid w:val="680C7CFE"/>
    <w:rsid w:val="681911C2"/>
    <w:rsid w:val="68266DDE"/>
    <w:rsid w:val="682A346B"/>
    <w:rsid w:val="688D5082"/>
    <w:rsid w:val="68A13569"/>
    <w:rsid w:val="68C32A37"/>
    <w:rsid w:val="68D2416A"/>
    <w:rsid w:val="68EF4BE3"/>
    <w:rsid w:val="68F4506E"/>
    <w:rsid w:val="68FE6E88"/>
    <w:rsid w:val="6A1C3020"/>
    <w:rsid w:val="6A267530"/>
    <w:rsid w:val="6AAC3AEF"/>
    <w:rsid w:val="6AE52701"/>
    <w:rsid w:val="6AEF40DD"/>
    <w:rsid w:val="6AF51093"/>
    <w:rsid w:val="6B054057"/>
    <w:rsid w:val="6B2D622B"/>
    <w:rsid w:val="6B351F2B"/>
    <w:rsid w:val="6B3F22FE"/>
    <w:rsid w:val="6B5D3DE9"/>
    <w:rsid w:val="6B636EEE"/>
    <w:rsid w:val="6B71538F"/>
    <w:rsid w:val="6BB65DBE"/>
    <w:rsid w:val="6BF24E73"/>
    <w:rsid w:val="6BFC2A50"/>
    <w:rsid w:val="6C106DD8"/>
    <w:rsid w:val="6C1B31DA"/>
    <w:rsid w:val="6C330018"/>
    <w:rsid w:val="6CD13C8D"/>
    <w:rsid w:val="6CEF0C6B"/>
    <w:rsid w:val="6D4A104D"/>
    <w:rsid w:val="6D572ED4"/>
    <w:rsid w:val="6DBE4FD8"/>
    <w:rsid w:val="6DD4799A"/>
    <w:rsid w:val="6E031605"/>
    <w:rsid w:val="6E3B5181"/>
    <w:rsid w:val="6E6B0D3B"/>
    <w:rsid w:val="6EBC41D1"/>
    <w:rsid w:val="6F006EC6"/>
    <w:rsid w:val="6F1313D8"/>
    <w:rsid w:val="6F194F3B"/>
    <w:rsid w:val="6F347699"/>
    <w:rsid w:val="6F584989"/>
    <w:rsid w:val="6FF6618E"/>
    <w:rsid w:val="7056191E"/>
    <w:rsid w:val="70684A8A"/>
    <w:rsid w:val="70B74FE5"/>
    <w:rsid w:val="70F54D20"/>
    <w:rsid w:val="712060B5"/>
    <w:rsid w:val="71236EDA"/>
    <w:rsid w:val="71374E78"/>
    <w:rsid w:val="719B34C9"/>
    <w:rsid w:val="71EC62C7"/>
    <w:rsid w:val="721B57C9"/>
    <w:rsid w:val="721D0BF5"/>
    <w:rsid w:val="724C4755"/>
    <w:rsid w:val="72657AB1"/>
    <w:rsid w:val="726B0227"/>
    <w:rsid w:val="7271351A"/>
    <w:rsid w:val="729977C0"/>
    <w:rsid w:val="72A526E9"/>
    <w:rsid w:val="72B63FEB"/>
    <w:rsid w:val="732B04BE"/>
    <w:rsid w:val="73426A6E"/>
    <w:rsid w:val="7387572A"/>
    <w:rsid w:val="73895BF4"/>
    <w:rsid w:val="73F90067"/>
    <w:rsid w:val="7415542F"/>
    <w:rsid w:val="74214277"/>
    <w:rsid w:val="743B1FC9"/>
    <w:rsid w:val="74B61471"/>
    <w:rsid w:val="74D9696F"/>
    <w:rsid w:val="751208DE"/>
    <w:rsid w:val="75431E21"/>
    <w:rsid w:val="755C1037"/>
    <w:rsid w:val="75937941"/>
    <w:rsid w:val="76574B00"/>
    <w:rsid w:val="766B153E"/>
    <w:rsid w:val="768A231C"/>
    <w:rsid w:val="769A2CFE"/>
    <w:rsid w:val="76B53FEF"/>
    <w:rsid w:val="76FF0305"/>
    <w:rsid w:val="77003391"/>
    <w:rsid w:val="770E4D00"/>
    <w:rsid w:val="772B32FB"/>
    <w:rsid w:val="773542CF"/>
    <w:rsid w:val="77830D3B"/>
    <w:rsid w:val="77867617"/>
    <w:rsid w:val="779B7DD8"/>
    <w:rsid w:val="77AE1EF8"/>
    <w:rsid w:val="77CC7757"/>
    <w:rsid w:val="77DD4B45"/>
    <w:rsid w:val="78370AF4"/>
    <w:rsid w:val="7837358B"/>
    <w:rsid w:val="7843100E"/>
    <w:rsid w:val="7844005A"/>
    <w:rsid w:val="78B630FD"/>
    <w:rsid w:val="78C70FDB"/>
    <w:rsid w:val="79540723"/>
    <w:rsid w:val="79B3354A"/>
    <w:rsid w:val="7A496864"/>
    <w:rsid w:val="7A7F33BC"/>
    <w:rsid w:val="7A813805"/>
    <w:rsid w:val="7AE82EBD"/>
    <w:rsid w:val="7AEC5112"/>
    <w:rsid w:val="7B0424FE"/>
    <w:rsid w:val="7B2B44C1"/>
    <w:rsid w:val="7B8C37C1"/>
    <w:rsid w:val="7B8F0316"/>
    <w:rsid w:val="7BB0282A"/>
    <w:rsid w:val="7BE718B8"/>
    <w:rsid w:val="7BFD3595"/>
    <w:rsid w:val="7C07129B"/>
    <w:rsid w:val="7C3D517A"/>
    <w:rsid w:val="7C9A49D8"/>
    <w:rsid w:val="7CAC02D7"/>
    <w:rsid w:val="7CD0188B"/>
    <w:rsid w:val="7D821433"/>
    <w:rsid w:val="7D865A13"/>
    <w:rsid w:val="7D9D2234"/>
    <w:rsid w:val="7DBE51A3"/>
    <w:rsid w:val="7DC51651"/>
    <w:rsid w:val="7DC834FE"/>
    <w:rsid w:val="7DF97A0C"/>
    <w:rsid w:val="7E492498"/>
    <w:rsid w:val="7E5C50DB"/>
    <w:rsid w:val="7E6327EF"/>
    <w:rsid w:val="7E9C297F"/>
    <w:rsid w:val="7EBE3F1A"/>
    <w:rsid w:val="7ECA636E"/>
    <w:rsid w:val="7ECC2ECE"/>
    <w:rsid w:val="7EDE4B0A"/>
    <w:rsid w:val="7F6A3A60"/>
    <w:rsid w:val="7F8416CC"/>
    <w:rsid w:val="7F9507F9"/>
    <w:rsid w:val="7F9A207F"/>
    <w:rsid w:val="7FBC174B"/>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link w:val="39"/>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4">
    <w:name w:val="Default Paragraph Font"/>
    <w:semiHidden/>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1"/>
    <w:rPr>
      <w:rFonts w:ascii="宋体" w:hAnsi="宋体" w:eastAsia="宋体" w:cs="宋体"/>
      <w:sz w:val="21"/>
      <w:szCs w:val="21"/>
      <w:lang w:val="zh-CN" w:eastAsia="zh-CN" w:bidi="zh-CN"/>
    </w:rPr>
  </w:style>
  <w:style w:type="paragraph" w:styleId="10">
    <w:name w:val="Body Text 3"/>
    <w:basedOn w:val="1"/>
    <w:qFormat/>
    <w:uiPriority w:val="99"/>
    <w:pPr>
      <w:spacing w:after="120"/>
    </w:pPr>
    <w:rPr>
      <w:sz w:val="16"/>
      <w:szCs w:val="16"/>
    </w:rPr>
  </w:style>
  <w:style w:type="paragraph" w:styleId="11">
    <w:name w:val="Body Text Indent"/>
    <w:basedOn w:val="1"/>
    <w:next w:val="12"/>
    <w:qFormat/>
    <w:uiPriority w:val="0"/>
    <w:pPr>
      <w:spacing w:after="120"/>
      <w:ind w:left="420" w:leftChars="200"/>
      <w:jc w:val="both"/>
    </w:pPr>
    <w:rPr>
      <w:rFonts w:ascii="Calibri" w:hAnsi="Calibri" w:eastAsia="宋体" w:cs="Times New Roman"/>
      <w:kern w:val="2"/>
      <w:sz w:val="21"/>
      <w:szCs w:val="24"/>
      <w:lang w:eastAsia="zh-CN"/>
    </w:rPr>
  </w:style>
  <w:style w:type="paragraph" w:styleId="12">
    <w:name w:val="envelope return"/>
    <w:basedOn w:val="1"/>
    <w:qFormat/>
    <w:uiPriority w:val="0"/>
    <w:pPr>
      <w:adjustRightInd w:val="0"/>
      <w:snapToGrid w:val="0"/>
      <w:spacing w:line="360" w:lineRule="atLeast"/>
      <w:ind w:firstLine="640" w:firstLineChars="200"/>
    </w:pPr>
    <w:rPr>
      <w:rFonts w:ascii="Arial" w:hAnsi="Arial"/>
    </w:rPr>
  </w:style>
  <w:style w:type="paragraph" w:styleId="13">
    <w:name w:val="Plain Text"/>
    <w:basedOn w:val="1"/>
    <w:next w:val="1"/>
    <w:qFormat/>
    <w:uiPriority w:val="99"/>
    <w:pPr>
      <w:widowControl w:val="0"/>
      <w:jc w:val="both"/>
    </w:pPr>
    <w:rPr>
      <w:rFonts w:ascii="宋体" w:hAnsi="Courier New"/>
      <w:kern w:val="2"/>
    </w:rPr>
  </w:style>
  <w:style w:type="paragraph" w:styleId="14">
    <w:name w:val="Body Text Indent 2"/>
    <w:basedOn w:val="1"/>
    <w:next w:val="1"/>
    <w:link w:val="30"/>
    <w:qFormat/>
    <w:uiPriority w:val="99"/>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qFormat/>
    <w:uiPriority w:val="0"/>
    <w:pPr>
      <w:ind w:leftChars="0" w:firstLine="420"/>
    </w:pPr>
    <w:rPr>
      <w:rFonts w:ascii="Times New Roman" w:hAnsi="Times New Roman" w:cs="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100" w:hanging="480"/>
    </w:pPr>
    <w:rPr>
      <w:rFonts w:ascii="宋体" w:hAnsi="宋体" w:eastAsia="宋体" w:cs="宋体"/>
      <w:lang w:val="zh-CN" w:eastAsia="zh-CN" w:bidi="zh-CN"/>
    </w:rPr>
  </w:style>
  <w:style w:type="paragraph" w:customStyle="1" w:styleId="28">
    <w:name w:val="Table Paragraph"/>
    <w:basedOn w:val="1"/>
    <w:qFormat/>
    <w:uiPriority w:val="1"/>
    <w:rPr>
      <w:rFonts w:ascii="宋体" w:hAnsi="宋体" w:eastAsia="宋体" w:cs="宋体"/>
      <w:lang w:val="zh-CN" w:eastAsia="zh-CN" w:bidi="zh-CN"/>
    </w:rPr>
  </w:style>
  <w:style w:type="character" w:customStyle="1" w:styleId="29">
    <w:name w:val="正文文本 Char"/>
    <w:link w:val="2"/>
    <w:qFormat/>
    <w:uiPriority w:val="1"/>
    <w:rPr>
      <w:rFonts w:ascii="宋体" w:hAnsi="宋体" w:eastAsia="宋体" w:cs="宋体"/>
      <w:sz w:val="21"/>
      <w:szCs w:val="21"/>
      <w:lang w:val="zh-CN" w:eastAsia="zh-CN" w:bidi="zh-CN"/>
    </w:rPr>
  </w:style>
  <w:style w:type="character" w:customStyle="1" w:styleId="30">
    <w:name w:val="正文文本缩进 2 Char"/>
    <w:link w:val="14"/>
    <w:qFormat/>
    <w:uiPriority w:val="0"/>
  </w:style>
  <w:style w:type="paragraph" w:customStyle="1" w:styleId="31">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2">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标题 2 New"/>
    <w:basedOn w:val="34"/>
    <w:next w:val="34"/>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3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6">
    <w:name w:val="style21"/>
    <w:basedOn w:val="24"/>
    <w:qFormat/>
    <w:uiPriority w:val="0"/>
    <w:rPr>
      <w:rFonts w:cs="Times New Roman"/>
      <w:sz w:val="24"/>
      <w:szCs w:val="24"/>
    </w:rPr>
  </w:style>
  <w:style w:type="paragraph" w:customStyle="1" w:styleId="37">
    <w:name w:val="样式 标题 3 + (中文) 黑体 小四 非加粗 段前: 7.8 磅 段后: 0 磅 行距: 固定值 20 磅"/>
    <w:basedOn w:val="5"/>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8">
    <w:name w:val="列出段落1"/>
    <w:basedOn w:val="1"/>
    <w:qFormat/>
    <w:uiPriority w:val="34"/>
    <w:pPr>
      <w:ind w:firstLine="420" w:firstLineChars="200"/>
    </w:pPr>
    <w:rPr>
      <w:rFonts w:ascii="Calibri" w:hAnsi="Calibri" w:eastAsia="宋体" w:cs="黑体"/>
    </w:rPr>
  </w:style>
  <w:style w:type="character" w:customStyle="1" w:styleId="39">
    <w:name w:val="Heading 2 Char"/>
    <w:basedOn w:val="24"/>
    <w:link w:val="4"/>
    <w:qFormat/>
    <w:locked/>
    <w:uiPriority w:val="99"/>
    <w:rPr>
      <w:rFonts w:ascii="宋体" w:hAnsi="宋体" w:eastAsia="宋体" w:cs="宋体"/>
      <w:b/>
      <w:bCs/>
      <w:sz w:val="48"/>
      <w:szCs w:val="4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35911</Words>
  <Characters>36884</Characters>
  <TotalTime>1</TotalTime>
  <ScaleCrop>false</ScaleCrop>
  <LinksUpToDate>false</LinksUpToDate>
  <CharactersWithSpaces>38755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litl1</dc:creator>
  <cp:lastModifiedBy>litl1</cp:lastModifiedBy>
  <cp:lastPrinted>2023-06-07T06:44:00Z</cp:lastPrinted>
  <dcterms:modified xsi:type="dcterms:W3CDTF">2023-06-09T07:47:45Z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2052-11.1.0.14309</vt:lpwstr>
  </property>
  <property fmtid="{D5CDD505-2E9C-101B-9397-08002B2CF9AE}" pid="6" name="ICV">
    <vt:lpwstr>96C2F9B90F574135BC6D8426C306B540_13</vt:lpwstr>
  </property>
</Properties>
</file>