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3858260" cy="3858260"/>
            <wp:effectExtent l="0" t="0" r="8890" b="889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3858260" cy="3858260"/>
                    </a:xfrm>
                    <a:prstGeom prst="rect">
                      <a:avLst/>
                    </a:prstGeom>
                  </pic:spPr>
                </pic:pic>
              </a:graphicData>
            </a:graphic>
          </wp:inline>
        </w:drawing>
      </w:r>
    </w:p>
    <w:p>
      <w:pPr>
        <w:pStyle w:val="10"/>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0"/>
        <w:jc w:val="center"/>
        <w:rPr>
          <w:rFonts w:hint="eastAsia" w:ascii="仿宋" w:hAnsi="仿宋" w:eastAsia="仿宋" w:cs="仿宋"/>
          <w:b/>
          <w:sz w:val="140"/>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3328" w:leftChars="600" w:right="0" w:hanging="2008" w:hangingChars="500"/>
        <w:jc w:val="left"/>
        <w:textAlignment w:val="auto"/>
        <w:rPr>
          <w:rFonts w:hint="eastAsia"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rPr>
        <w:t>项目名称：</w:t>
      </w:r>
      <w:bookmarkStart w:id="2" w:name="采购项目编号：445302-202007-111001-0017"/>
      <w:bookmarkEnd w:id="2"/>
      <w:r>
        <w:rPr>
          <w:rFonts w:hint="eastAsia" w:ascii="仿宋" w:hAnsi="仿宋" w:eastAsia="仿宋" w:cs="仿宋"/>
          <w:b/>
          <w:bCs/>
          <w:spacing w:val="0"/>
          <w:sz w:val="40"/>
          <w:szCs w:val="40"/>
          <w:highlight w:val="none"/>
          <w:lang w:val="en-US" w:eastAsia="zh-CN"/>
        </w:rPr>
        <w:t>新兴县车管所门口段(二十四米规划路)路面硬底化工程</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320" w:leftChars="600" w:right="0" w:firstLine="0" w:firstLineChars="0"/>
        <w:jc w:val="left"/>
        <w:textAlignment w:val="auto"/>
        <w:rPr>
          <w:rFonts w:hint="eastAsia"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rPr>
        <w:t>项目编号：</w:t>
      </w:r>
      <w:r>
        <w:rPr>
          <w:rFonts w:hint="eastAsia" w:ascii="仿宋" w:hAnsi="仿宋" w:eastAsia="仿宋" w:cs="仿宋"/>
          <w:b/>
          <w:bCs/>
          <w:spacing w:val="0"/>
          <w:sz w:val="40"/>
          <w:szCs w:val="40"/>
          <w:highlight w:val="none"/>
          <w:lang w:val="en-US" w:eastAsia="zh-CN"/>
        </w:rPr>
        <w:t>GDZZ-2024-03-01</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320" w:leftChars="600" w:right="0" w:firstLine="0" w:firstLineChars="0"/>
        <w:jc w:val="left"/>
        <w:textAlignment w:val="auto"/>
        <w:rPr>
          <w:rFonts w:hint="default"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lang w:val="en-US" w:eastAsia="zh-CN"/>
        </w:rPr>
        <w:t>项目日期：2024年3月06日</w:t>
      </w:r>
    </w:p>
    <w:p>
      <w:pPr>
        <w:spacing w:after="0"/>
        <w:jc w:val="center"/>
        <w:rPr>
          <w:rFonts w:hint="eastAsia" w:ascii="仿宋" w:hAnsi="仿宋" w:eastAsia="仿宋" w:cs="仿宋"/>
          <w:sz w:val="28"/>
          <w:highlight w:val="none"/>
        </w:rPr>
      </w:pPr>
    </w:p>
    <w:p>
      <w:pPr>
        <w:pStyle w:val="24"/>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0"/>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0"/>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0"/>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4"/>
        <w:rPr>
          <w:rFonts w:hint="eastAsia"/>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0"/>
            <w:rPr>
              <w:rFonts w:hint="eastAsia" w:ascii="仿宋" w:hAnsi="仿宋" w:eastAsia="仿宋" w:cs="仿宋"/>
            </w:rPr>
          </w:pPr>
        </w:p>
        <w:p>
          <w:pPr>
            <w:pStyle w:val="21"/>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11</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24</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32</w:t>
          </w:r>
          <w:r>
            <w:rPr>
              <w:sz w:val="44"/>
              <w:szCs w:val="44"/>
            </w:rPr>
            <w:fldChar w:fldCharType="end"/>
          </w:r>
          <w:r>
            <w:rPr>
              <w:rFonts w:hint="eastAsia" w:ascii="仿宋" w:hAnsi="仿宋" w:eastAsia="仿宋" w:cs="仿宋"/>
              <w:sz w:val="44"/>
              <w:szCs w:val="160"/>
            </w:rPr>
            <w:fldChar w:fldCharType="end"/>
          </w:r>
        </w:p>
        <w:p>
          <w:pPr>
            <w:pStyle w:val="13"/>
            <w:tabs>
              <w:tab w:val="right" w:leader="hyphen" w:pos="10096"/>
            </w:tabs>
          </w:pPr>
        </w:p>
        <w:p>
          <w:pPr>
            <w:pStyle w:val="10"/>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0"/>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5"/>
        <w:rPr>
          <w:rFonts w:hint="eastAsia" w:ascii="仿宋" w:hAnsi="仿宋" w:eastAsia="仿宋" w:cs="仿宋"/>
          <w:lang w:val="zh-CN" w:eastAsia="zh-CN"/>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4"/>
        <w:rPr>
          <w:rFonts w:hint="eastAsia"/>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4"/>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5"/>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受新兴县城市管理事务中心的委托，对新兴县车管所门口段(二十四米规划路)路面硬底化工程（项目编号：GDZZ-2024-03-01）进行竞争性谈判采购，欢迎符合资格条件的供应商参加。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GDZZ-2024-03-01</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sz w:val="22"/>
          <w:szCs w:val="22"/>
          <w:highlight w:val="none"/>
          <w:lang w:val="en-US" w:eastAsia="zh-CN" w:bidi="zh-CN"/>
        </w:rPr>
        <w:t>新兴县车管所门口段(二十四米规划路)路面硬底化工程</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10"/>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val="0"/>
          <w:bCs/>
          <w:color w:val="000000"/>
          <w:spacing w:val="0"/>
          <w:sz w:val="22"/>
          <w:szCs w:val="22"/>
          <w:highlight w:val="none"/>
          <w:lang w:val="en-US" w:eastAsia="zh-CN" w:bidi="zh-CN"/>
        </w:rPr>
        <w:t>387,538.62元(其中绿色施工安全防护措施费14,697.68元属于不可竞争费用)</w:t>
      </w:r>
    </w:p>
    <w:p>
      <w:pPr>
        <w:pStyle w:val="10"/>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落实政府采购政策需满足的资格要求：</w:t>
      </w:r>
    </w:p>
    <w:p>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供应商特定资格要求：</w:t>
      </w:r>
    </w:p>
    <w:p>
      <w:pPr>
        <w:keepNext w:val="0"/>
        <w:keepLines w:val="0"/>
        <w:pageBreakBefore w:val="0"/>
        <w:widowControl/>
        <w:numPr>
          <w:ilvl w:val="0"/>
          <w:numId w:val="6"/>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widowControl/>
        <w:numPr>
          <w:ilvl w:val="0"/>
          <w:numId w:val="6"/>
        </w:numPr>
        <w:suppressLineNumbers w:val="0"/>
        <w:spacing w:line="360" w:lineRule="auto"/>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1"/>
          <w:szCs w:val="21"/>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法定代表人或单位负责人与参加本采购项目的其他供应商的法定代表人或单位负责人不为同一人且与其他供应商之间不存在直接控股、管理关系。</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1"/>
          <w:szCs w:val="21"/>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建设主管部门认定的市政工程施工总承包三级(或以上)资质且获得建设行政主管部门核发的安全生产许可证(在有效期内）。</w:t>
      </w:r>
    </w:p>
    <w:p>
      <w:pPr>
        <w:pStyle w:val="10"/>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pStyle w:val="10"/>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获取时间：2024年03月07日</w:t>
      </w:r>
      <w:r>
        <w:rPr>
          <w:rFonts w:hint="eastAsia" w:ascii="仿宋" w:hAnsi="仿宋" w:eastAsia="仿宋" w:cs="仿宋"/>
          <w:b w:val="0"/>
          <w:bCs/>
          <w:color w:val="000000"/>
          <w:spacing w:val="0"/>
          <w:kern w:val="28"/>
          <w:sz w:val="21"/>
          <w:szCs w:val="21"/>
          <w:highlight w:val="none"/>
        </w:rPr>
        <w:t>至</w:t>
      </w:r>
      <w:r>
        <w:rPr>
          <w:rFonts w:hint="eastAsia" w:ascii="仿宋" w:hAnsi="仿宋" w:eastAsia="仿宋" w:cs="仿宋"/>
          <w:b w:val="0"/>
          <w:bCs/>
          <w:color w:val="000000"/>
          <w:spacing w:val="0"/>
          <w:kern w:val="28"/>
          <w:sz w:val="21"/>
          <w:szCs w:val="21"/>
          <w:highlight w:val="none"/>
          <w:lang w:val="en-US" w:eastAsia="zh-CN"/>
        </w:rPr>
        <w:t>2024年03月11日</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9</w:t>
      </w:r>
      <w:r>
        <w:rPr>
          <w:rFonts w:hint="eastAsia" w:ascii="仿宋" w:hAnsi="仿宋" w:eastAsia="仿宋" w:cs="仿宋"/>
          <w:b w:val="0"/>
          <w:bCs/>
          <w:color w:val="000000"/>
          <w:spacing w:val="0"/>
          <w:kern w:val="28"/>
          <w:sz w:val="21"/>
          <w:szCs w:val="21"/>
          <w:highlight w:val="none"/>
        </w:rPr>
        <w:t>：</w:t>
      </w:r>
      <w:r>
        <w:rPr>
          <w:rFonts w:hint="eastAsia" w:ascii="仿宋" w:hAnsi="仿宋" w:eastAsia="仿宋" w:cs="仿宋"/>
          <w:b w:val="0"/>
          <w:bCs/>
          <w:color w:val="000000"/>
          <w:spacing w:val="0"/>
          <w:kern w:val="28"/>
          <w:sz w:val="21"/>
          <w:szCs w:val="21"/>
          <w:highlight w:val="none"/>
          <w:lang w:val="en-US" w:eastAsia="zh-CN"/>
        </w:rPr>
        <w:t>0</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-12:00；14:30</w:t>
      </w:r>
      <w:r>
        <w:rPr>
          <w:rFonts w:hint="eastAsia" w:ascii="仿宋" w:hAnsi="仿宋" w:eastAsia="仿宋" w:cs="仿宋"/>
          <w:b w:val="0"/>
          <w:bCs/>
          <w:color w:val="000000"/>
          <w:spacing w:val="0"/>
          <w:kern w:val="28"/>
          <w:sz w:val="21"/>
          <w:szCs w:val="21"/>
          <w:highlight w:val="none"/>
        </w:rPr>
        <w:t>-17：</w:t>
      </w:r>
      <w:r>
        <w:rPr>
          <w:rFonts w:hint="eastAsia" w:ascii="仿宋" w:hAnsi="仿宋" w:eastAsia="仿宋" w:cs="仿宋"/>
          <w:b w:val="0"/>
          <w:bCs/>
          <w:color w:val="000000"/>
          <w:spacing w:val="0"/>
          <w:kern w:val="28"/>
          <w:sz w:val="21"/>
          <w:szCs w:val="21"/>
          <w:highlight w:val="none"/>
          <w:lang w:val="en-US" w:eastAsia="zh-CN"/>
        </w:rPr>
        <w:t>30</w:t>
      </w:r>
      <w:r>
        <w:rPr>
          <w:rFonts w:hint="eastAsia" w:ascii="仿宋" w:hAnsi="仿宋" w:eastAsia="仿宋" w:cs="仿宋"/>
          <w:b w:val="0"/>
          <w:bCs/>
          <w:color w:val="000000"/>
          <w:spacing w:val="0"/>
          <w:kern w:val="28"/>
          <w:sz w:val="21"/>
          <w:szCs w:val="21"/>
          <w:highlight w:val="none"/>
        </w:rPr>
        <w:t>（工作时间）</w:t>
      </w:r>
      <w:r>
        <w:rPr>
          <w:rFonts w:hint="eastAsia" w:ascii="仿宋" w:hAnsi="仿宋" w:eastAsia="仿宋" w:cs="仿宋"/>
          <w:b w:val="0"/>
          <w:bCs/>
          <w:color w:val="000000"/>
          <w:spacing w:val="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b w:val="0"/>
          <w:bCs/>
          <w:color w:val="000000"/>
          <w:spacing w:val="0"/>
          <w:sz w:val="21"/>
          <w:szCs w:val="21"/>
          <w:highlight w:val="none"/>
          <w:lang w:val="en-US" w:eastAsia="zh-CN"/>
        </w:rPr>
        <w:t>获取</w:t>
      </w:r>
      <w:r>
        <w:rPr>
          <w:rFonts w:hint="eastAsia" w:ascii="仿宋" w:hAnsi="仿宋" w:eastAsia="仿宋" w:cs="仿宋"/>
          <w:b w:val="0"/>
          <w:bCs/>
          <w:color w:val="000000"/>
          <w:spacing w:val="0"/>
          <w:sz w:val="21"/>
          <w:szCs w:val="21"/>
          <w:highlight w:val="none"/>
        </w:rPr>
        <w:t>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b w:val="0"/>
          <w:bCs/>
          <w:spacing w:val="0"/>
          <w:sz w:val="21"/>
          <w:szCs w:val="21"/>
          <w:highlight w:val="none"/>
        </w:rPr>
        <w:t>（</w:t>
      </w:r>
      <w:r>
        <w:rPr>
          <w:rFonts w:hint="eastAsia" w:ascii="仿宋" w:hAnsi="仿宋" w:eastAsia="仿宋" w:cs="仿宋"/>
          <w:b w:val="0"/>
          <w:bCs/>
          <w:spacing w:val="0"/>
          <w:sz w:val="21"/>
          <w:szCs w:val="21"/>
          <w:highlight w:val="none"/>
          <w:lang w:val="en-US" w:eastAsia="zh-CN"/>
        </w:rPr>
        <w:t>至臻管理</w:t>
      </w:r>
      <w:r>
        <w:rPr>
          <w:rFonts w:hint="eastAsia" w:ascii="仿宋" w:hAnsi="仿宋" w:eastAsia="仿宋" w:cs="仿宋"/>
          <w:b w:val="0"/>
          <w:bCs/>
          <w:spacing w:val="0"/>
          <w:sz w:val="21"/>
          <w:szCs w:val="21"/>
          <w:highlight w:val="none"/>
        </w:rPr>
        <w:t>）</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color w:val="auto"/>
          <w:spacing w:val="0"/>
          <w:highlight w:val="none"/>
          <w:lang w:val="en-US" w:eastAsia="zh-CN"/>
        </w:rPr>
        <w:t>文件</w:t>
      </w:r>
      <w:r>
        <w:rPr>
          <w:rFonts w:hint="eastAsia" w:ascii="仿宋" w:hAnsi="仿宋" w:eastAsia="仿宋" w:cs="仿宋"/>
          <w:color w:val="auto"/>
          <w:spacing w:val="0"/>
          <w:highlight w:val="none"/>
          <w:lang w:eastAsia="zh-CN"/>
        </w:rPr>
        <w:t>费：人民币200元</w:t>
      </w:r>
      <w:r>
        <w:rPr>
          <w:rFonts w:hint="eastAsia" w:ascii="仿宋" w:hAnsi="仿宋" w:eastAsia="仿宋" w:cs="仿宋"/>
          <w:color w:val="auto"/>
          <w:spacing w:val="0"/>
          <w:highlight w:val="none"/>
          <w:lang w:val="en-US" w:eastAsia="zh-CN"/>
        </w:rPr>
        <w:t>,</w:t>
      </w:r>
      <w:r>
        <w:rPr>
          <w:rFonts w:hint="eastAsia" w:ascii="仿宋" w:hAnsi="仿宋" w:eastAsia="仿宋" w:cs="仿宋"/>
          <w:color w:val="auto"/>
          <w:spacing w:val="0"/>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none"/>
          <w:lang w:eastAsia="zh-CN"/>
        </w:rPr>
        <w:t>供应商</w:t>
      </w:r>
      <w:r>
        <w:rPr>
          <w:rFonts w:hint="eastAsia" w:ascii="仿宋" w:hAnsi="仿宋" w:eastAsia="仿宋" w:cs="仿宋"/>
          <w:b w:val="0"/>
          <w:bCs/>
          <w:color w:val="000000"/>
          <w:spacing w:val="0"/>
          <w:sz w:val="21"/>
          <w:szCs w:val="21"/>
          <w:highlight w:val="none"/>
          <w:lang w:val="en-US" w:eastAsia="zh-CN"/>
        </w:rPr>
        <w:t>购买文件时</w:t>
      </w:r>
      <w:r>
        <w:rPr>
          <w:rFonts w:hint="eastAsia" w:ascii="仿宋" w:hAnsi="仿宋" w:eastAsia="仿宋" w:cs="仿宋"/>
          <w:b w:val="0"/>
          <w:bCs/>
          <w:color w:val="000000"/>
          <w:spacing w:val="0"/>
          <w:sz w:val="21"/>
          <w:szCs w:val="21"/>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pStyle w:val="10"/>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val="0"/>
          <w:bCs w:val="0"/>
          <w:spacing w:val="0"/>
          <w:sz w:val="21"/>
          <w:szCs w:val="21"/>
          <w:highlight w:val="none"/>
          <w:lang w:val="en-US" w:eastAsia="zh-CN" w:bidi="zh-CN"/>
        </w:rPr>
        <w:t>2024年03月14日15:00-15：30（北京时间，下同）(逾期递交的或不符合规定的谈判响应文件将被拒收)；</w:t>
      </w:r>
    </w:p>
    <w:p>
      <w:pPr>
        <w:pStyle w:val="10"/>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新兴县新城镇升平路55号翔顺筠州花园二区第27幢1层3号商铺（至臻管理）；</w:t>
      </w:r>
    </w:p>
    <w:p>
      <w:pPr>
        <w:pStyle w:val="10"/>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none"/>
          <w:lang w:val="en-US" w:eastAsia="zh-CN" w:bidi="zh-CN"/>
        </w:rPr>
        <w:t>2024年03月14日15：30；（暨本次谈判起始时间）</w:t>
      </w:r>
    </w:p>
    <w:p>
      <w:pPr>
        <w:pStyle w:val="10"/>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10"/>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10"/>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0"/>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新兴县城市管理事务中心</w:t>
      </w:r>
      <w:r>
        <w:rPr>
          <w:rFonts w:hint="eastAsia" w:ascii="仿宋" w:hAnsi="仿宋" w:eastAsia="仿宋" w:cs="仿宋"/>
          <w:spacing w:val="0"/>
          <w:highlight w:val="none"/>
          <w:lang w:val="en-US"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b w:val="0"/>
          <w:bCs/>
          <w:color w:val="000000"/>
          <w:spacing w:val="0"/>
          <w:highlight w:val="none"/>
          <w:lang w:val="en-US" w:eastAsia="zh-CN"/>
        </w:rPr>
        <w:t>新兴县新城镇果园路71号；</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采购代理机构名称：</w:t>
      </w:r>
      <w:r>
        <w:rPr>
          <w:rFonts w:hint="eastAsia" w:ascii="仿宋" w:hAnsi="仿宋" w:eastAsia="仿宋" w:cs="仿宋"/>
          <w:spacing w:val="0"/>
          <w:highlight w:val="none"/>
          <w:lang w:val="en-US" w:eastAsia="zh-CN"/>
        </w:rPr>
        <w:t>广东至臻项目管理有限公司；</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highlight w:val="none"/>
          <w:lang w:val="en-US" w:eastAsia="zh-CN"/>
        </w:rPr>
        <w:t>4、</w:t>
      </w:r>
      <w:r>
        <w:rPr>
          <w:rFonts w:hint="eastAsia" w:ascii="仿宋" w:hAnsi="仿宋" w:eastAsia="仿宋" w:cs="仿宋"/>
          <w:spacing w:val="0"/>
          <w:highlight w:val="none"/>
        </w:rPr>
        <w:t>采购代理机构地点：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至臻管理</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highlight w:val="none"/>
        </w:rPr>
      </w:pPr>
      <w:r>
        <w:rPr>
          <w:rFonts w:hint="eastAsia" w:ascii="仿宋" w:hAnsi="仿宋" w:eastAsia="仿宋" w:cs="仿宋"/>
          <w:b w:val="0"/>
          <w:bCs/>
          <w:color w:val="000000"/>
          <w:spacing w:val="0"/>
          <w:sz w:val="21"/>
          <w:szCs w:val="21"/>
          <w:highlight w:val="none"/>
          <w:lang w:val="en-US" w:eastAsia="zh-CN"/>
        </w:rPr>
        <w:t>5、采购代理机构联系人：黎先生；</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6、采购代理机构联系电话：0766-2888293；</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7、采购代理机构邮箱：（gdzzxm@163.com）。</w:t>
      </w:r>
    </w:p>
    <w:p>
      <w:pPr>
        <w:pStyle w:val="10"/>
        <w:spacing w:before="164" w:line="240" w:lineRule="auto"/>
        <w:ind w:left="0" w:leftChars="0" w:right="490"/>
        <w:jc w:val="right"/>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广东至臻项目管理有限公司</w:t>
      </w:r>
    </w:p>
    <w:p>
      <w:pPr>
        <w:pStyle w:val="10"/>
        <w:spacing w:before="164" w:line="240" w:lineRule="auto"/>
        <w:ind w:left="0" w:leftChars="0" w:right="490"/>
        <w:jc w:val="right"/>
        <w:rPr>
          <w:rFonts w:hint="default" w:ascii="仿宋" w:hAnsi="仿宋" w:eastAsia="仿宋" w:cs="仿宋"/>
          <w:spacing w:val="0"/>
          <w:highlight w:val="none"/>
          <w:lang w:val="en-US" w:eastAsia="zh-CN"/>
        </w:rPr>
      </w:pPr>
      <w:r>
        <w:rPr>
          <w:rFonts w:hint="eastAsia" w:ascii="仿宋" w:hAnsi="仿宋" w:eastAsia="仿宋" w:cs="仿宋"/>
          <w:spacing w:val="0"/>
          <w:highlight w:val="none"/>
          <w:lang w:eastAsia="zh-CN"/>
        </w:rPr>
        <w:t>2024年03月</w:t>
      </w:r>
      <w:r>
        <w:rPr>
          <w:rFonts w:hint="eastAsia" w:ascii="仿宋" w:hAnsi="仿宋" w:eastAsia="仿宋" w:cs="仿宋"/>
          <w:spacing w:val="0"/>
          <w:highlight w:val="none"/>
          <w:lang w:val="en-US" w:eastAsia="zh-CN"/>
        </w:rPr>
        <w:t>06日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5"/>
        <w:rPr>
          <w:rFonts w:hint="eastAsia" w:ascii="仿宋" w:hAnsi="仿宋" w:eastAsia="仿宋" w:cs="仿宋"/>
          <w:sz w:val="15"/>
        </w:rPr>
      </w:pPr>
    </w:p>
    <w:p>
      <w:pPr>
        <w:pStyle w:val="2"/>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0"/>
        <w:spacing w:before="11"/>
        <w:rPr>
          <w:rFonts w:hint="eastAsia" w:ascii="仿宋" w:hAnsi="仿宋" w:eastAsia="仿宋" w:cs="仿宋"/>
          <w:sz w:val="13"/>
        </w:rPr>
      </w:pPr>
    </w:p>
    <w:p>
      <w:pPr>
        <w:pStyle w:val="6"/>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tbl>
      <w:tblPr>
        <w:tblStyle w:val="25"/>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2096"/>
        <w:gridCol w:w="5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3"/>
          </w:tcPr>
          <w:p>
            <w:pPr>
              <w:pStyle w:val="30"/>
              <w:spacing w:before="97"/>
              <w:ind w:left="107"/>
              <w:rPr>
                <w:b/>
                <w:spacing w:val="0"/>
                <w:sz w:val="21"/>
              </w:rPr>
            </w:pPr>
            <w:r>
              <w:rPr>
                <w:b/>
                <w:spacing w:val="0"/>
                <w:sz w:val="24"/>
                <w:szCs w:val="24"/>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80" w:type="pct"/>
            <w:vAlign w:val="center"/>
          </w:tcPr>
          <w:p>
            <w:pPr>
              <w:pStyle w:val="30"/>
              <w:spacing w:before="99"/>
              <w:jc w:val="center"/>
              <w:rPr>
                <w:rFonts w:hint="eastAsia" w:ascii="宋体" w:hAnsi="宋体" w:eastAsia="宋体" w:cs="宋体"/>
                <w:spacing w:val="0"/>
                <w:sz w:val="24"/>
                <w:szCs w:val="24"/>
              </w:rPr>
            </w:pPr>
            <w:r>
              <w:rPr>
                <w:rFonts w:hint="eastAsia" w:ascii="宋体" w:hAnsi="宋体" w:eastAsia="宋体" w:cs="宋体"/>
                <w:spacing w:val="0"/>
                <w:sz w:val="24"/>
                <w:szCs w:val="24"/>
              </w:rPr>
              <w:t>单位名称</w:t>
            </w:r>
          </w:p>
        </w:tc>
        <w:tc>
          <w:tcPr>
            <w:tcW w:w="3919" w:type="pct"/>
            <w:gridSpan w:val="2"/>
            <w:vAlign w:val="center"/>
          </w:tcPr>
          <w:p>
            <w:pPr>
              <w:pStyle w:val="30"/>
              <w:spacing w:before="99"/>
              <w:ind w:firstLine="240" w:firstLineChars="100"/>
              <w:jc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新兴县城市管理事务中心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80" w:type="pct"/>
            <w:vAlign w:val="center"/>
          </w:tcPr>
          <w:p>
            <w:pPr>
              <w:pStyle w:val="30"/>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919" w:type="pct"/>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0" w:lineRule="auto"/>
              <w:ind w:right="283" w:firstLine="240" w:firstLineChars="100"/>
              <w:jc w:val="center"/>
              <w:textAlignment w:val="auto"/>
              <w:rPr>
                <w:rFonts w:hint="default" w:ascii="宋体" w:hAnsi="宋体" w:eastAsia="仿宋_GB2312" w:cs="宋体"/>
                <w:spacing w:val="0"/>
                <w:sz w:val="24"/>
                <w:szCs w:val="24"/>
                <w:lang w:val="en-US" w:eastAsia="zh-CN"/>
              </w:rPr>
            </w:pPr>
            <w:r>
              <w:rPr>
                <w:rFonts w:hint="eastAsia" w:cs="宋体"/>
                <w:b w:val="0"/>
                <w:bCs w:val="0"/>
                <w:spacing w:val="0"/>
                <w:sz w:val="24"/>
                <w:szCs w:val="24"/>
                <w:lang w:val="en-US" w:eastAsia="zh-CN" w:bidi="zh-CN"/>
              </w:rPr>
              <w:t>新兴县车管所门口段(二十四米规划路)路面硬底化工程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80" w:type="pct"/>
            <w:vAlign w:val="center"/>
          </w:tcPr>
          <w:p>
            <w:pPr>
              <w:pStyle w:val="30"/>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919" w:type="pct"/>
            <w:gridSpan w:val="2"/>
            <w:vAlign w:val="center"/>
          </w:tcPr>
          <w:p>
            <w:pPr>
              <w:pStyle w:val="30"/>
              <w:tabs>
                <w:tab w:val="left" w:pos="703"/>
              </w:tabs>
              <w:spacing w:before="98"/>
              <w:ind w:firstLine="240" w:firstLineChars="100"/>
              <w:jc w:val="center"/>
              <w:rPr>
                <w:rFonts w:hint="eastAsia" w:ascii="宋体" w:hAnsi="宋体" w:eastAsia="宋体" w:cs="宋体"/>
                <w:spacing w:val="0"/>
                <w:sz w:val="24"/>
                <w:szCs w:val="24"/>
              </w:rPr>
            </w:pPr>
            <w:r>
              <w:rPr>
                <w:rFonts w:hint="eastAsia" w:cs="宋体"/>
                <w:b w:val="0"/>
                <w:bCs w:val="0"/>
                <w:spacing w:val="0"/>
                <w:sz w:val="24"/>
                <w:szCs w:val="24"/>
                <w:lang w:val="en-US" w:eastAsia="zh-CN" w:bidi="zh-CN"/>
              </w:rPr>
              <w:t>387,538.62</w:t>
            </w:r>
            <w:r>
              <w:rPr>
                <w:rFonts w:hint="eastAsia" w:ascii="宋体" w:hAnsi="宋体" w:eastAsia="宋体" w:cs="宋体"/>
                <w:spacing w:val="0"/>
                <w:sz w:val="24"/>
                <w:szCs w:val="24"/>
                <w:lang w:val="en-US" w:eastAsia="zh-CN"/>
              </w:rPr>
              <w:t>元</w:t>
            </w:r>
            <w:r>
              <w:rPr>
                <w:rFonts w:hint="eastAsia" w:cs="宋体"/>
                <w:spacing w:val="0"/>
                <w:sz w:val="24"/>
                <w:szCs w:val="24"/>
                <w:lang w:val="en-US" w:eastAsia="zh-CN"/>
              </w:rPr>
              <w:t>(其中绿色施工安全防护措施费</w:t>
            </w:r>
            <w:r>
              <w:rPr>
                <w:rFonts w:hint="eastAsia" w:cs="宋体"/>
                <w:b/>
                <w:bCs/>
                <w:spacing w:val="0"/>
                <w:sz w:val="24"/>
                <w:szCs w:val="24"/>
                <w:u w:val="single"/>
                <w:lang w:val="en-US" w:eastAsia="zh-CN"/>
              </w:rPr>
              <w:t>14,697.68</w:t>
            </w:r>
            <w:r>
              <w:rPr>
                <w:rFonts w:hint="eastAsia" w:cs="宋体"/>
                <w:spacing w:val="0"/>
                <w:sz w:val="24"/>
                <w:szCs w:val="24"/>
                <w:lang w:val="en-US" w:eastAsia="zh-CN"/>
              </w:rPr>
              <w:t>元属于不可竞争费用)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80" w:type="pct"/>
            <w:vAlign w:val="center"/>
          </w:tcPr>
          <w:p>
            <w:pPr>
              <w:pStyle w:val="30"/>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资金来源</w:t>
            </w:r>
          </w:p>
        </w:tc>
        <w:tc>
          <w:tcPr>
            <w:tcW w:w="3919" w:type="pct"/>
            <w:gridSpan w:val="2"/>
            <w:vAlign w:val="center"/>
          </w:tcPr>
          <w:p>
            <w:pPr>
              <w:pStyle w:val="30"/>
              <w:tabs>
                <w:tab w:val="left" w:pos="3478"/>
                <w:tab w:val="left" w:pos="5161"/>
              </w:tabs>
              <w:spacing w:before="98"/>
              <w:ind w:left="106"/>
              <w:jc w:val="center"/>
              <w:rPr>
                <w:rFonts w:hint="eastAsia" w:ascii="宋体" w:hAnsi="宋体" w:eastAsia="宋体" w:cs="宋体"/>
                <w:spacing w:val="0"/>
                <w:sz w:val="24"/>
                <w:szCs w:val="24"/>
              </w:rPr>
            </w:pPr>
            <w:r>
              <w:rPr>
                <w:rFonts w:hint="eastAsia" w:ascii="宋体" w:hAnsi="宋体" w:eastAsia="宋体" w:cs="宋体"/>
                <w:spacing w:val="0"/>
                <w:sz w:val="24"/>
                <w:szCs w:val="24"/>
              </w:rPr>
              <w:t>1、财政性资金（ √ ）</w:t>
            </w:r>
            <w:r>
              <w:rPr>
                <w:rFonts w:hint="eastAsia" w:ascii="宋体" w:hAnsi="宋体" w:eastAsia="宋体" w:cs="宋体"/>
                <w:spacing w:val="0"/>
                <w:sz w:val="24"/>
                <w:szCs w:val="24"/>
              </w:rPr>
              <w:tab/>
            </w:r>
            <w:r>
              <w:rPr>
                <w:rFonts w:hint="eastAsia" w:ascii="宋体" w:hAnsi="宋体" w:eastAsia="宋体" w:cs="宋体"/>
                <w:spacing w:val="0"/>
                <w:sz w:val="24"/>
                <w:szCs w:val="24"/>
              </w:rPr>
              <w:t>2、其他资金（</w:t>
            </w:r>
            <w:r>
              <w:rPr>
                <w:rFonts w:hint="eastAsia" w:ascii="宋体" w:hAnsi="宋体" w:eastAsia="宋体" w:cs="宋体"/>
                <w:spacing w:val="0"/>
                <w:sz w:val="24"/>
                <w:szCs w:val="24"/>
              </w:rPr>
              <w:tab/>
            </w:r>
            <w:r>
              <w:rPr>
                <w:rFonts w:hint="eastAsia" w:ascii="宋体" w:hAnsi="宋体" w:eastAsia="宋体" w:cs="宋体"/>
                <w:spacing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3"/>
          </w:tcPr>
          <w:p>
            <w:pPr>
              <w:pStyle w:val="30"/>
              <w:spacing w:before="98"/>
              <w:ind w:left="107"/>
              <w:rPr>
                <w:rFonts w:hint="eastAsia" w:eastAsia="宋体"/>
                <w:b/>
                <w:spacing w:val="0"/>
                <w:sz w:val="21"/>
                <w:lang w:eastAsia="zh-CN"/>
              </w:rPr>
            </w:pPr>
            <w:r>
              <w:rPr>
                <w:b/>
                <w:spacing w:val="0"/>
                <w:sz w:val="24"/>
                <w:szCs w:val="24"/>
              </w:rPr>
              <w:t>二、商务</w:t>
            </w:r>
            <w:r>
              <w:rPr>
                <w:rFonts w:hint="eastAsia"/>
                <w:b/>
                <w:spacing w:val="0"/>
                <w:sz w:val="24"/>
                <w:szCs w:val="24"/>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116" w:type="pct"/>
            <w:gridSpan w:val="2"/>
          </w:tcPr>
          <w:p>
            <w:pPr>
              <w:pStyle w:val="30"/>
              <w:spacing w:before="98"/>
              <w:jc w:val="center"/>
              <w:rPr>
                <w:spacing w:val="0"/>
                <w:sz w:val="24"/>
                <w:szCs w:val="24"/>
              </w:rPr>
            </w:pPr>
            <w:r>
              <w:rPr>
                <w:spacing w:val="0"/>
                <w:sz w:val="24"/>
                <w:szCs w:val="24"/>
              </w:rPr>
              <w:t>保修期</w:t>
            </w:r>
          </w:p>
        </w:tc>
        <w:tc>
          <w:tcPr>
            <w:tcW w:w="2883" w:type="pct"/>
            <w:vAlign w:val="center"/>
          </w:tcPr>
          <w:p>
            <w:pPr>
              <w:pStyle w:val="30"/>
              <w:spacing w:before="98"/>
              <w:jc w:val="center"/>
              <w:rPr>
                <w:spacing w:val="0"/>
                <w:sz w:val="24"/>
                <w:szCs w:val="24"/>
              </w:rPr>
            </w:pPr>
            <w:r>
              <w:rPr>
                <w:spacing w:val="0"/>
                <w:sz w:val="24"/>
                <w:szCs w:val="24"/>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2116" w:type="pct"/>
            <w:gridSpan w:val="2"/>
          </w:tcPr>
          <w:p>
            <w:pPr>
              <w:pStyle w:val="30"/>
              <w:keepNext w:val="0"/>
              <w:keepLines w:val="0"/>
              <w:pageBreakBefore w:val="0"/>
              <w:widowControl w:val="0"/>
              <w:kinsoku/>
              <w:wordWrap/>
              <w:overflowPunct/>
              <w:topLinePunct w:val="0"/>
              <w:autoSpaceDE w:val="0"/>
              <w:autoSpaceDN w:val="0"/>
              <w:bidi w:val="0"/>
              <w:adjustRightInd/>
              <w:snapToGrid/>
              <w:spacing w:before="98"/>
              <w:ind w:left="0" w:right="0"/>
              <w:jc w:val="center"/>
              <w:textAlignment w:val="auto"/>
              <w:rPr>
                <w:rFonts w:hint="default" w:eastAsia="宋体"/>
                <w:spacing w:val="0"/>
                <w:sz w:val="24"/>
                <w:szCs w:val="24"/>
                <w:highlight w:val="red"/>
                <w:lang w:val="en-US" w:eastAsia="zh-CN"/>
              </w:rPr>
            </w:pPr>
            <w:r>
              <w:rPr>
                <w:rFonts w:hint="eastAsia"/>
                <w:spacing w:val="0"/>
                <w:sz w:val="24"/>
                <w:szCs w:val="24"/>
                <w:lang w:val="en-US" w:eastAsia="zh-CN"/>
              </w:rPr>
              <w:t>1年</w:t>
            </w:r>
          </w:p>
        </w:tc>
        <w:tc>
          <w:tcPr>
            <w:tcW w:w="2883"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98"/>
              <w:ind w:left="22" w:leftChars="10"/>
              <w:jc w:val="center"/>
              <w:textAlignment w:val="auto"/>
              <w:rPr>
                <w:rFonts w:hint="default" w:eastAsia="宋体"/>
                <w:spacing w:val="0"/>
                <w:sz w:val="24"/>
                <w:szCs w:val="24"/>
                <w:lang w:val="en-US" w:eastAsia="zh-CN"/>
              </w:rPr>
            </w:pPr>
            <w:r>
              <w:rPr>
                <w:rFonts w:hint="eastAsia"/>
                <w:spacing w:val="0"/>
                <w:sz w:val="24"/>
                <w:szCs w:val="24"/>
                <w:lang w:val="en-US" w:eastAsia="zh-CN"/>
              </w:rPr>
              <w:t>60个日历天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5000" w:type="pct"/>
            <w:gridSpan w:val="3"/>
            <w:vAlign w:val="center"/>
          </w:tcPr>
          <w:p>
            <w:pPr>
              <w:pStyle w:val="30"/>
              <w:spacing w:before="97"/>
              <w:ind w:left="3248" w:right="3243"/>
              <w:jc w:val="center"/>
              <w:rPr>
                <w:spacing w:val="0"/>
                <w:sz w:val="21"/>
              </w:rPr>
            </w:pPr>
            <w:r>
              <w:rPr>
                <w:rFonts w:hint="eastAsia"/>
                <w:b/>
                <w:bCs/>
                <w:spacing w:val="0"/>
                <w:sz w:val="24"/>
                <w:szCs w:val="24"/>
                <w:lang w:val="en-US" w:eastAsia="zh-CN"/>
              </w:rPr>
              <w:t>（一）响应</w:t>
            </w:r>
            <w:r>
              <w:rPr>
                <w:b/>
                <w:bCs/>
                <w:spacing w:val="0"/>
                <w:sz w:val="24"/>
                <w:szCs w:val="24"/>
              </w:rPr>
              <w:t>供应商资</w:t>
            </w:r>
            <w:r>
              <w:rPr>
                <w:rFonts w:hint="eastAsia"/>
                <w:b/>
                <w:bCs/>
                <w:spacing w:val="0"/>
                <w:sz w:val="24"/>
                <w:szCs w:val="24"/>
                <w:lang w:val="en-US" w:eastAsia="zh-CN"/>
              </w:rPr>
              <w:t>格</w:t>
            </w:r>
            <w:r>
              <w:rPr>
                <w:b/>
                <w:bCs/>
                <w:spacing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3"/>
            <w:tcBorders>
              <w:bottom w:val="single" w:color="auto" w:sz="4" w:space="0"/>
            </w:tcBorders>
          </w:tcPr>
          <w:p>
            <w:pPr>
              <w:pStyle w:val="2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10" w:rightChars="50" w:hanging="425" w:firstLineChars="0"/>
              <w:jc w:val="both"/>
              <w:textAlignment w:val="auto"/>
              <w:rPr>
                <w:rFonts w:hint="eastAsia"/>
              </w:rPr>
            </w:pPr>
            <w:r>
              <w:rPr>
                <w:rFonts w:hint="eastAsia"/>
                <w:lang w:val="en-US" w:eastAsia="zh-CN"/>
              </w:rPr>
              <w:t>响应</w:t>
            </w:r>
            <w:r>
              <w:rPr>
                <w:rFonts w:hint="eastAsia"/>
              </w:rPr>
              <w:t>供应商应具备《</w:t>
            </w:r>
            <w:r>
              <w:rPr>
                <w:rFonts w:hint="eastAsia"/>
                <w:lang w:val="en-US" w:eastAsia="zh-CN"/>
              </w:rPr>
              <w:t>中华人民共和国</w:t>
            </w:r>
            <w:r>
              <w:rPr>
                <w:rFonts w:hint="eastAsia"/>
              </w:rPr>
              <w:t>政府采购法》第二十二条规定的条件，提供下列材料：</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10" w:rightChars="50" w:hanging="425" w:firstLineChars="0"/>
              <w:jc w:val="both"/>
              <w:textAlignment w:val="auto"/>
              <w:rPr>
                <w:rFonts w:hint="eastAsia"/>
              </w:rPr>
            </w:pPr>
            <w:r>
              <w:rPr>
                <w:rFonts w:hint="eastAsia"/>
              </w:rPr>
              <w:t>具有独立承担民事责任的能力；</w:t>
            </w:r>
          </w:p>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480" w:lineRule="auto"/>
              <w:ind w:left="709" w:leftChars="0" w:right="110" w:rightChars="50" w:hanging="425" w:firstLineChars="0"/>
              <w:jc w:val="left"/>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kern w:val="0"/>
                <w:sz w:val="24"/>
                <w:szCs w:val="22"/>
                <w:lang w:val="en-US" w:eastAsia="zh-CN" w:bidi="ar"/>
              </w:rPr>
              <w:t>具有良好的商业信誉和健全的财务会计制度；</w:t>
            </w:r>
          </w:p>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480" w:lineRule="auto"/>
              <w:ind w:left="709" w:leftChars="0" w:right="110" w:rightChars="50" w:hanging="425" w:firstLineChars="0"/>
              <w:jc w:val="left"/>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有依法缴纳税收证明和社会保障资金的良好记录；</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10" w:rightChars="50" w:hanging="425" w:firstLineChars="0"/>
              <w:jc w:val="both"/>
              <w:textAlignment w:val="auto"/>
              <w:rPr>
                <w:rFonts w:hint="eastAsia"/>
              </w:rPr>
            </w:pPr>
            <w:r>
              <w:rPr>
                <w:rFonts w:hint="eastAsia"/>
              </w:rPr>
              <w:t>参加采购活动前3年内，在经营活动中没有重大违法记录；</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10" w:rightChars="50" w:hanging="425" w:firstLineChars="0"/>
              <w:jc w:val="both"/>
              <w:textAlignment w:val="auto"/>
              <w:rPr>
                <w:rFonts w:hint="eastAsia"/>
              </w:rPr>
            </w:pPr>
            <w:r>
              <w:rPr>
                <w:rFonts w:hint="eastAsia" w:ascii="宋体" w:hAnsi="宋体" w:eastAsia="宋体" w:cs="宋体"/>
                <w:i w:val="0"/>
                <w:iCs w:val="0"/>
                <w:caps w:val="0"/>
                <w:color w:val="222222"/>
                <w:spacing w:val="0"/>
                <w:sz w:val="24"/>
                <w:szCs w:val="24"/>
                <w:shd w:val="clear" w:fill="FFFFFF"/>
              </w:rPr>
              <w:t>具有履行合同所必需的设备和专业技术能力</w:t>
            </w:r>
            <w:r>
              <w:rPr>
                <w:rFonts w:hint="eastAsia"/>
              </w:rPr>
              <w:t>；</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10" w:rightChars="50" w:hanging="425" w:firstLineChars="0"/>
              <w:jc w:val="both"/>
              <w:textAlignment w:val="auto"/>
            </w:pPr>
            <w:r>
              <w:rPr>
                <w:rFonts w:hint="eastAsia"/>
              </w:rPr>
              <w:t>供应商必须符合法律、行政法规规定的其他条件</w:t>
            </w:r>
            <w:r>
              <w:rPr>
                <w:rFonts w:hint="eastAsia"/>
                <w:lang w:eastAsia="zh-CN"/>
              </w:rPr>
              <w:t>。</w:t>
            </w:r>
          </w:p>
          <w:p>
            <w:pPr>
              <w:pStyle w:val="2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lang w:val="en-US" w:eastAsia="zh-CN"/>
              </w:rPr>
              <w:t>落实政府采购政策需满足的资格要求：</w:t>
            </w:r>
          </w:p>
          <w:p>
            <w:pPr>
              <w:pStyle w:val="2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85" w:rightChars="84" w:hanging="425"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本项目为专门面向中小企业采购的项目，响应供应商须</w:t>
            </w:r>
            <w:r>
              <w:rPr>
                <w:rFonts w:hint="eastAsia" w:cs="宋体"/>
                <w:lang w:val="en-US" w:eastAsia="zh-CN"/>
              </w:rPr>
              <w:t>符合</w:t>
            </w:r>
            <w:r>
              <w:rPr>
                <w:rFonts w:hint="eastAsia" w:ascii="宋体" w:hAnsi="宋体" w:eastAsia="宋体" w:cs="宋体"/>
                <w:lang w:val="en-US" w:eastAsia="zh-CN"/>
              </w:rPr>
              <w:t>建筑业</w:t>
            </w:r>
            <w:r>
              <w:rPr>
                <w:rFonts w:hint="eastAsia" w:cs="宋体"/>
                <w:lang w:val="en-US" w:eastAsia="zh-CN"/>
              </w:rPr>
              <w:t>的</w:t>
            </w:r>
            <w:r>
              <w:rPr>
                <w:rFonts w:hint="eastAsia" w:ascii="宋体" w:hAnsi="宋体" w:eastAsia="宋体" w:cs="宋体"/>
                <w:lang w:val="en-US" w:eastAsia="zh-CN"/>
              </w:rPr>
              <w:t>中小企业</w:t>
            </w:r>
            <w:r>
              <w:rPr>
                <w:rFonts w:hint="eastAsia" w:cs="宋体"/>
                <w:lang w:val="en-US" w:eastAsia="zh-CN"/>
              </w:rPr>
              <w:t>划分标准</w:t>
            </w:r>
            <w:r>
              <w:rPr>
                <w:rFonts w:hint="eastAsia" w:ascii="宋体" w:hAnsi="宋体" w:eastAsia="宋体" w:cs="宋体"/>
                <w:lang w:val="en-US" w:eastAsia="zh-CN"/>
              </w:rPr>
              <w:t>。【提供中小企业声明函】</w:t>
            </w:r>
          </w:p>
          <w:p>
            <w:pPr>
              <w:pStyle w:val="2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10" w:rightChars="50" w:hanging="425" w:firstLineChars="0"/>
              <w:jc w:val="both"/>
              <w:textAlignment w:val="auto"/>
              <w:rPr>
                <w:rFonts w:hint="default" w:ascii="宋体" w:hAnsi="宋体" w:eastAsia="宋体" w:cs="宋体"/>
                <w:lang w:val="en-US" w:eastAsia="zh-CN"/>
              </w:rPr>
            </w:pPr>
            <w:r>
              <w:rPr>
                <w:rFonts w:hint="eastAsia"/>
                <w:lang w:val="en-US" w:eastAsia="zh-CN"/>
              </w:rPr>
              <w:t>本项目特定的资格要求：</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85" w:rightChars="84"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85" w:rightChars="84"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10" w:rightChars="50" w:hanging="425" w:firstLineChars="0"/>
              <w:jc w:val="both"/>
              <w:textAlignment w:val="auto"/>
            </w:pPr>
            <w:r>
              <w:rPr>
                <w:rFonts w:hint="eastAsia" w:ascii="宋体" w:hAnsi="宋体" w:eastAsia="宋体" w:cs="宋体"/>
                <w:lang w:val="en-US" w:eastAsia="zh-CN"/>
              </w:rPr>
              <w:t>本项目不接受联合体投标，不允许分包和转包；</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85" w:rightChars="84"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r>
              <w:rPr>
                <w:rFonts w:hint="eastAsia" w:cs="宋体"/>
                <w:lang w:val="en-US" w:eastAsia="zh-CN"/>
              </w:rPr>
              <w:t>；</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709" w:leftChars="0" w:right="110" w:rightChars="50" w:hanging="425" w:firstLineChars="0"/>
              <w:jc w:val="both"/>
              <w:textAlignment w:val="auto"/>
            </w:pPr>
            <w:r>
              <w:rPr>
                <w:rFonts w:hint="eastAsia" w:ascii="宋体" w:hAnsi="宋体" w:eastAsia="宋体" w:cs="宋体"/>
                <w:lang w:val="en-US" w:eastAsia="zh-CN"/>
              </w:rPr>
              <w:t>建设主管部门认定的市政工程施工总承包三级(或以上)资质且获得建设行政主管部门核发的安全生产许可证(在有效期内</w:t>
            </w:r>
            <w:r>
              <w:rPr>
                <w:rFonts w:hint="eastAsia" w:cs="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default"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（二）承包方式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10560"/>
              </w:tabs>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根据采购人提供的图纸和工程量清单等相关资料为依据，由成交人包材料、包施工、包质量、包工期、包安全进行。</w:t>
            </w:r>
          </w:p>
        </w:tc>
      </w:tr>
    </w:tbl>
    <w:p/>
    <w:p/>
    <w:p/>
    <w:p/>
    <w:p/>
    <w:p/>
    <w:p/>
    <w:p/>
    <w:p/>
    <w:p/>
    <w:p/>
    <w:p/>
    <w:tbl>
      <w:tblPr>
        <w:tblStyle w:val="25"/>
        <w:tblW w:w="50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（三）质量要求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1"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85" w:rightChars="84"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5000" w:type="pct"/>
            <w:tcBorders>
              <w:bottom w:val="single" w:color="auto" w:sz="4" w:space="0"/>
            </w:tcBorders>
            <w:vAlign w:val="center"/>
          </w:tcPr>
          <w:p>
            <w:pPr>
              <w:pStyle w:val="22"/>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jc w:val="center"/>
              <w:textAlignment w:val="auto"/>
              <w:rPr>
                <w:rFonts w:hint="eastAsia" w:ascii="宋体" w:hAnsi="宋体" w:eastAsia="宋体" w:cs="宋体"/>
                <w:b/>
                <w:bCs/>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（四）实施条件及管理要求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690" w:leftChars="150" w:right="185" w:rightChars="84"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在施工期间，成交人应随时保持现场整洁，施工设备和材料、工程设备应整齐妥善存放和储存，废料与垃圾及不再需要的临时设施应及时从现场清除、拆除并运走。</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10560"/>
              </w:tabs>
              <w:kinsoku/>
              <w:wordWrap/>
              <w:overflowPunct/>
              <w:topLinePunct w:val="0"/>
              <w:autoSpaceDE w:val="0"/>
              <w:autoSpaceDN w:val="0"/>
              <w:bidi w:val="0"/>
              <w:adjustRightInd/>
              <w:snapToGrid/>
              <w:spacing w:before="0" w:beforeAutospacing="0" w:after="0" w:afterAutospacing="0" w:line="480" w:lineRule="auto"/>
              <w:ind w:left="690" w:leftChars="150" w:right="185" w:rightChars="84" w:hanging="360" w:hangingChars="150"/>
              <w:jc w:val="left"/>
              <w:textAlignment w:val="auto"/>
            </w:pPr>
            <w:r>
              <w:rPr>
                <w:rFonts w:hint="eastAsia" w:ascii="宋体" w:hAnsi="宋体" w:eastAsia="宋体" w:cs="宋体"/>
                <w:spacing w:val="0"/>
                <w:kern w:val="0"/>
                <w:sz w:val="24"/>
                <w:szCs w:val="24"/>
                <w:lang w:val="en-US" w:eastAsia="zh-CN" w:bidi="zh-CN"/>
              </w:rPr>
              <w:t>成交人在施工期间应严格遵守国家、省、市有</w:t>
            </w:r>
            <w:r>
              <w:rPr>
                <w:rFonts w:hint="eastAsia" w:cs="宋体"/>
                <w:spacing w:val="0"/>
                <w:kern w:val="0"/>
                <w:sz w:val="24"/>
                <w:szCs w:val="24"/>
                <w:lang w:val="en-US" w:eastAsia="zh-CN" w:bidi="zh-CN"/>
              </w:rPr>
              <w:t>。</w:t>
            </w:r>
            <w:r>
              <w:rPr>
                <w:rFonts w:hint="eastAsia" w:ascii="宋体" w:hAnsi="宋体" w:eastAsia="宋体" w:cs="宋体"/>
                <w:spacing w:val="0"/>
                <w:kern w:val="0"/>
                <w:sz w:val="24"/>
                <w:szCs w:val="24"/>
                <w:lang w:val="en-US" w:eastAsia="zh-CN" w:bidi="zh-CN"/>
              </w:rPr>
              <w:t>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690" w:leftChars="150" w:right="185" w:rightChars="84"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对于公路施工中粉尘污染的主要污染源――灰土拌和、施工车辆和筑路机械运行及运输产生的扬尘，应采取有效措施减轻其对施工现场的大气污染，保护人民健康</w:t>
            </w:r>
            <w:r>
              <w:rPr>
                <w:rFonts w:hint="eastAsia" w:cs="宋体"/>
                <w:spacing w:val="0"/>
                <w:kern w:val="0"/>
                <w:sz w:val="24"/>
                <w:szCs w:val="24"/>
                <w:lang w:val="en-US" w:eastAsia="zh-CN" w:bidi="zh-CN"/>
              </w:rPr>
              <w:t>；</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330" w:leftChars="0" w:right="110" w:rightChars="50" w:firstLine="328" w:firstLineChars="137"/>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如：a.拌和设备应有较好的密封，或有防尘设备。</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330" w:leftChars="0" w:right="110" w:rightChars="50" w:firstLine="768" w:firstLineChars="32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b.施工通道、沥青混凝土拌和站及灰土拌和站应经常进行洒水降尘。</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330" w:leftChars="0" w:right="110" w:rightChars="50" w:firstLine="768" w:firstLineChars="320"/>
              <w:jc w:val="left"/>
              <w:textAlignment w:val="auto"/>
              <w:rPr>
                <w:rFonts w:hint="eastAsia" w:ascii="宋体" w:hAnsi="宋体" w:eastAsia="宋体" w:cs="宋体"/>
                <w:spacing w:val="0"/>
                <w:kern w:val="0"/>
                <w:sz w:val="24"/>
                <w:szCs w:val="24"/>
                <w:lang w:val="en-US" w:eastAsia="zh-CN" w:bidi="zh-CN"/>
              </w:rPr>
            </w:pPr>
            <w:r>
              <w:rPr>
                <w:rFonts w:hint="eastAsia" w:cs="宋体"/>
                <w:spacing w:val="0"/>
                <w:kern w:val="0"/>
                <w:sz w:val="24"/>
                <w:szCs w:val="24"/>
                <w:lang w:val="en-US" w:eastAsia="zh-CN" w:bidi="zh-CN"/>
              </w:rPr>
              <w:t>C.</w:t>
            </w:r>
            <w:r>
              <w:rPr>
                <w:rFonts w:hint="eastAsia" w:ascii="宋体" w:hAnsi="宋体" w:eastAsia="宋体" w:cs="宋体"/>
                <w:spacing w:val="0"/>
                <w:kern w:val="0"/>
                <w:sz w:val="24"/>
                <w:szCs w:val="24"/>
                <w:lang w:val="en-US" w:eastAsia="zh-CN" w:bidi="zh-CN"/>
              </w:rPr>
              <w:t>路面施工应注意保持水分，以免扬尘。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center"/>
              <w:textAlignment w:val="auto"/>
              <w:rPr>
                <w:rFonts w:hint="default"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（五）安全文明施工措施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4"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成交人必须在施工现场显眼位置设置正规施工警示牌、工程概况牌，标注“温馨提示”语言。靠近人行通道边（或建设方以为有必要的其他周边）必须用整齐美观的板材围住；</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tabs>
                <w:tab w:val="left" w:pos="10560"/>
              </w:tabs>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成交人必须在施工过程中注意自身及周边安全，做好现场及周边安全设施搭设，遵守有关安全保护规程，负责施工过程中的所有事故处理和费用；</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r>
              <w:rPr>
                <w:rFonts w:hint="eastAsia" w:cs="宋体"/>
                <w:spacing w:val="0"/>
                <w:kern w:val="0"/>
                <w:sz w:val="24"/>
                <w:szCs w:val="24"/>
                <w:lang w:val="en-US" w:eastAsia="zh-CN" w:bidi="zh-CN"/>
              </w:rPr>
              <w:t>。</w:t>
            </w:r>
          </w:p>
        </w:tc>
      </w:tr>
    </w:tbl>
    <w:p/>
    <w:p/>
    <w:p/>
    <w:p/>
    <w:p/>
    <w:p/>
    <w:p/>
    <w:tbl>
      <w:tblPr>
        <w:tblStyle w:val="25"/>
        <w:tblW w:w="50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（六）保修期及保修期服务要求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1"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1年</w:t>
            </w:r>
            <w:r>
              <w:rPr>
                <w:rFonts w:hint="eastAsia" w:ascii="宋体" w:hAnsi="宋体" w:eastAsia="宋体" w:cs="宋体"/>
                <w:spacing w:val="0"/>
                <w:kern w:val="0"/>
                <w:sz w:val="24"/>
                <w:szCs w:val="24"/>
                <w:lang w:val="en-US" w:eastAsia="zh-CN" w:bidi="zh-CN"/>
              </w:rPr>
              <w:t>；</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85" w:rightChars="84"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在工程保修期内，承包人应当根据有关法律以及合同规定，在约定的保修范围、保修期限内承担保修责任。保修的费用由造成质量缺陷的责任方承担。</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85" w:rightChars="84"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 5天内派人保修。承包人不在约定期限内派人保修的，发包人可以委托他人修理。</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85" w:rightChars="84"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tcBorders>
              <w:top w:val="single" w:color="auto"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before="100"/>
              <w:ind w:left="440" w:leftChars="200" w:right="0"/>
              <w:jc w:val="center"/>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（七）付款方式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0" w:hRule="atLeast"/>
          <w:jc w:val="center"/>
        </w:trPr>
        <w:tc>
          <w:tcPr>
            <w:tcW w:w="5000" w:type="pct"/>
            <w:vAlign w:val="center"/>
          </w:tcPr>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由采购人按下列程序付款：</w:t>
            </w:r>
          </w:p>
          <w:p>
            <w:pPr>
              <w:pStyle w:val="29"/>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690" w:leftChars="150" w:right="110" w:rightChars="50" w:hanging="360" w:hangingChars="150"/>
              <w:textAlignment w:val="auto"/>
              <w:rPr>
                <w:rFonts w:hint="eastAsia"/>
                <w:color w:val="auto"/>
                <w:sz w:val="24"/>
                <w:szCs w:val="24"/>
                <w:lang w:val="en-US" w:eastAsia="zh-CN"/>
              </w:rPr>
            </w:pPr>
            <w:r>
              <w:rPr>
                <w:rFonts w:hint="eastAsia" w:cs="宋体"/>
                <w:sz w:val="24"/>
                <w:szCs w:val="24"/>
                <w:lang w:val="en-US" w:eastAsia="zh-CN"/>
              </w:rPr>
              <w:t xml:space="preserve">1.1 </w:t>
            </w:r>
            <w:r>
              <w:rPr>
                <w:rFonts w:hint="eastAsia"/>
                <w:color w:val="auto"/>
                <w:sz w:val="24"/>
                <w:szCs w:val="24"/>
                <w:lang w:val="en-US" w:eastAsia="zh-CN"/>
              </w:rPr>
              <w:t>预付款:签订合同后支付合同总价的30%</w:t>
            </w:r>
          </w:p>
          <w:p>
            <w:pPr>
              <w:pStyle w:val="29"/>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690" w:leftChars="150" w:right="110" w:rightChars="50" w:hanging="360" w:hangingChars="150"/>
              <w:textAlignment w:val="auto"/>
              <w:rPr>
                <w:rFonts w:hint="eastAsia"/>
                <w:color w:val="auto"/>
                <w:sz w:val="24"/>
                <w:szCs w:val="24"/>
                <w:lang w:val="en-US"/>
              </w:rPr>
            </w:pPr>
            <w:r>
              <w:rPr>
                <w:rFonts w:hint="eastAsia"/>
                <w:color w:val="auto"/>
                <w:sz w:val="24"/>
                <w:szCs w:val="24"/>
                <w:lang w:val="en-US"/>
              </w:rPr>
              <w:t>1.2</w:t>
            </w:r>
            <w:r>
              <w:rPr>
                <w:rFonts w:hint="eastAsia"/>
                <w:color w:val="auto"/>
                <w:sz w:val="24"/>
                <w:szCs w:val="24"/>
                <w:lang w:val="en-US" w:eastAsia="zh-CN"/>
              </w:rPr>
              <w:t xml:space="preserve"> </w:t>
            </w:r>
            <w:r>
              <w:rPr>
                <w:rFonts w:hint="eastAsia"/>
                <w:color w:val="auto"/>
                <w:sz w:val="24"/>
                <w:szCs w:val="24"/>
                <w:lang w:val="en-US"/>
              </w:rPr>
              <w:t>结算款:工程完工验收合格后一次性支付到合同总价的100%。</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ascii="宋体" w:hAnsi="宋体" w:eastAsia="宋体" w:cs="宋体"/>
                <w:sz w:val="24"/>
                <w:szCs w:val="24"/>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570" w:leftChars="150" w:right="110" w:rightChars="50" w:hanging="240" w:hangingChars="100"/>
              <w:jc w:val="left"/>
              <w:textAlignment w:val="auto"/>
              <w:rPr>
                <w:spacing w:val="0"/>
                <w:sz w:val="21"/>
              </w:rPr>
            </w:pPr>
            <w:r>
              <w:rPr>
                <w:rFonts w:hint="eastAsia" w:ascii="宋体" w:hAnsi="宋体" w:eastAsia="宋体" w:cs="宋体"/>
                <w:sz w:val="24"/>
                <w:szCs w:val="24"/>
                <w:lang w:val="en-US" w:eastAsia="zh-CN"/>
              </w:rPr>
              <w:t>3.</w:t>
            </w: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tc>
      </w:tr>
    </w:tbl>
    <w:p/>
    <w:p/>
    <w:p/>
    <w:p/>
    <w:p/>
    <w:p/>
    <w:p/>
    <w:p/>
    <w:p/>
    <w:p/>
    <w:p/>
    <w:p/>
    <w:tbl>
      <w:tblPr>
        <w:tblStyle w:val="25"/>
        <w:tblW w:w="50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5000" w:type="pct"/>
            <w:vAlign w:val="center"/>
          </w:tcPr>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45" w:after="0" w:line="360" w:lineRule="auto"/>
              <w:ind w:leftChars="50" w:right="0" w:rightChars="0"/>
              <w:jc w:val="center"/>
              <w:textAlignment w:val="auto"/>
              <w:rPr>
                <w:rFonts w:hint="default" w:eastAsia="宋体"/>
                <w:spacing w:val="0"/>
                <w:sz w:val="21"/>
                <w:szCs w:val="21"/>
                <w:lang w:val="en-US" w:eastAsia="zh-CN"/>
              </w:rPr>
            </w:pPr>
            <w:r>
              <w:rPr>
                <w:rFonts w:hint="eastAsia" w:ascii="宋体" w:hAnsi="宋体" w:eastAsia="宋体" w:cs="宋体"/>
                <w:b/>
                <w:bCs/>
                <w:spacing w:val="0"/>
                <w:kern w:val="0"/>
                <w:sz w:val="24"/>
                <w:szCs w:val="24"/>
                <w:lang w:val="en-US" w:eastAsia="zh-CN" w:bidi="zh-CN"/>
              </w:rPr>
              <w:t>（八）验收方案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2" w:hRule="atLeast"/>
          <w:jc w:val="center"/>
        </w:trPr>
        <w:tc>
          <w:tcPr>
            <w:tcW w:w="5000" w:type="pct"/>
            <w:vAlign w:val="center"/>
          </w:tcPr>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85" w:rightChars="84"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85" w:rightChars="84"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85" w:rightChars="84"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85" w:rightChars="84"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spacing w:val="0"/>
                <w:sz w:val="24"/>
                <w:szCs w:val="24"/>
              </w:rPr>
            </w:pPr>
            <w:r>
              <w:rPr>
                <w:rFonts w:hint="eastAsia" w:cs="宋体"/>
                <w:spacing w:val="0"/>
                <w:sz w:val="24"/>
                <w:szCs w:val="24"/>
                <w:lang w:val="en-US" w:eastAsia="zh-CN" w:bidi="zh-CN"/>
              </w:rPr>
              <w:t>成交人若违反相关规定，发生重大生产安全事故的，采购人有权单方面终止合同。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5000"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99"/>
              <w:ind w:right="0"/>
              <w:jc w:val="center"/>
              <w:textAlignment w:val="auto"/>
              <w:rPr>
                <w:spacing w:val="0"/>
                <w:sz w:val="24"/>
                <w:szCs w:val="24"/>
              </w:rPr>
            </w:pPr>
            <w:r>
              <w:rPr>
                <w:rFonts w:hint="eastAsia" w:ascii="宋体" w:hAnsi="宋体" w:eastAsia="宋体" w:cs="宋体"/>
                <w:b/>
                <w:bCs/>
                <w:spacing w:val="0"/>
                <w:kern w:val="0"/>
                <w:sz w:val="24"/>
                <w:szCs w:val="24"/>
                <w:lang w:val="en-US" w:eastAsia="zh-CN" w:bidi="zh-CN"/>
              </w:rPr>
              <w:t>（九）售后服务及其他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7" w:hRule="atLeast"/>
          <w:jc w:val="center"/>
        </w:trPr>
        <w:tc>
          <w:tcPr>
            <w:tcW w:w="5000" w:type="pct"/>
            <w:vAlign w:val="center"/>
          </w:tcPr>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01" w:line="360" w:lineRule="auto"/>
              <w:ind w:left="567" w:leftChars="0" w:right="110" w:rightChars="50" w:hanging="283" w:firstLineChars="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供应商须对项目实施提供必要的技术支持和服务保证</w:t>
            </w:r>
            <w:r>
              <w:rPr>
                <w:rFonts w:hint="eastAsia" w:asciiTheme="minorEastAsia" w:hAnsiTheme="minorEastAsia" w:eastAsiaTheme="minorEastAsia" w:cstheme="minorEastAsia"/>
                <w:spacing w:val="0"/>
                <w:sz w:val="24"/>
                <w:szCs w:val="24"/>
                <w:lang w:eastAsia="zh-CN"/>
              </w:rPr>
              <w:t>；</w:t>
            </w:r>
          </w:p>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 w:line="360" w:lineRule="auto"/>
              <w:ind w:left="567" w:leftChars="0" w:right="110" w:rightChars="50" w:hanging="283" w:firstLineChars="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最终成果要求：成交人提交的项目成果质量必须符合项目要求且通过采购人的验收</w:t>
            </w:r>
            <w:r>
              <w:rPr>
                <w:rFonts w:hint="eastAsia" w:asciiTheme="minorEastAsia" w:hAnsiTheme="minorEastAsia" w:eastAsiaTheme="minorEastAsia" w:cstheme="minorEastAsia"/>
                <w:spacing w:val="0"/>
                <w:sz w:val="24"/>
                <w:szCs w:val="24"/>
                <w:lang w:eastAsia="zh-CN"/>
              </w:rPr>
              <w:t>；</w:t>
            </w:r>
          </w:p>
          <w:p>
            <w:pPr>
              <w:pStyle w:val="30"/>
              <w:keepNext w:val="0"/>
              <w:keepLines w:val="0"/>
              <w:pageBreakBefore w:val="0"/>
              <w:widowControl w:val="0"/>
              <w:numPr>
                <w:ilvl w:val="0"/>
                <w:numId w:val="20"/>
              </w:numPr>
              <w:tabs>
                <w:tab w:val="left" w:pos="420"/>
                <w:tab w:val="left" w:pos="10780"/>
              </w:tabs>
              <w:kinsoku/>
              <w:wordWrap/>
              <w:overflowPunct/>
              <w:topLinePunct w:val="0"/>
              <w:autoSpaceDE w:val="0"/>
              <w:autoSpaceDN w:val="0"/>
              <w:bidi w:val="0"/>
              <w:adjustRightInd/>
              <w:snapToGrid/>
              <w:spacing w:before="1" w:line="360" w:lineRule="auto"/>
              <w:ind w:left="567" w:leftChars="0" w:right="185" w:rightChars="84" w:hanging="283" w:firstLineChars="0"/>
              <w:jc w:val="both"/>
              <w:textAlignment w:val="auto"/>
              <w:rPr>
                <w:spacing w:val="0"/>
                <w:sz w:val="24"/>
                <w:szCs w:val="24"/>
              </w:rPr>
            </w:pPr>
            <w:r>
              <w:rPr>
                <w:rFonts w:hint="eastAsia" w:asciiTheme="minorEastAsia" w:hAnsiTheme="minorEastAsia" w:eastAsiaTheme="minorEastAsia" w:cstheme="minorEastAsia"/>
                <w:spacing w:val="0"/>
                <w:sz w:val="24"/>
                <w:szCs w:val="24"/>
              </w:rPr>
              <w:t>工程质量不合格、不符合设计标准、达不到设计要求，或施工程序不按施工规范的，采购人有权要求成交人停工和返工，因停工和返工造成的一切损失由成交人自行承担，不予顺延</w:t>
            </w:r>
            <w:r>
              <w:rPr>
                <w:rFonts w:hint="eastAsia" w:asciiTheme="minorEastAsia" w:hAnsiTheme="minorEastAsia" w:eastAsiaTheme="minorEastAsia" w:cstheme="minorEastAsia"/>
                <w:spacing w:val="0"/>
                <w:sz w:val="24"/>
                <w:szCs w:val="24"/>
                <w:lang w:eastAsia="zh-CN"/>
              </w:rPr>
              <w:t>；</w:t>
            </w:r>
          </w:p>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 w:line="360" w:lineRule="auto"/>
              <w:ind w:left="567" w:leftChars="0" w:right="185" w:rightChars="84" w:hanging="283" w:firstLineChars="0"/>
              <w:jc w:val="both"/>
              <w:textAlignment w:val="auto"/>
              <w:rPr>
                <w:spacing w:val="0"/>
                <w:sz w:val="24"/>
                <w:szCs w:val="24"/>
              </w:rPr>
            </w:pPr>
            <w:r>
              <w:rPr>
                <w:rFonts w:hint="eastAsia" w:asciiTheme="minorEastAsia" w:hAnsiTheme="minorEastAsia" w:eastAsiaTheme="minorEastAsia" w:cstheme="minorEastAsia"/>
                <w:spacing w:val="0"/>
                <w:sz w:val="24"/>
                <w:szCs w:val="24"/>
                <w:lang w:val="zh-CN" w:eastAsia="zh-CN" w:bidi="zh-CN"/>
              </w:rPr>
              <w:t>因成交人原因致使工</w:t>
            </w:r>
            <w:r>
              <w:rPr>
                <w:rFonts w:hint="eastAsia" w:asciiTheme="minorEastAsia" w:hAnsiTheme="minorEastAsia" w:eastAsiaTheme="minorEastAsia" w:cstheme="minorEastAsia"/>
                <w:spacing w:val="0"/>
                <w:sz w:val="24"/>
                <w:szCs w:val="24"/>
              </w:rPr>
              <w:t>程在国家规定的工程合理使用期限内造成人身和财产损害的，成交人应承担赔偿责任。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5000" w:type="pct"/>
            <w:vAlign w:val="center"/>
          </w:tcPr>
          <w:p>
            <w:pPr>
              <w:pStyle w:val="30"/>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both"/>
              <w:textAlignment w:val="auto"/>
              <w:rPr>
                <w:rFonts w:hint="eastAsia" w:asciiTheme="minorEastAsia" w:hAnsiTheme="minorEastAsia" w:eastAsiaTheme="minorEastAsia" w:cstheme="minorEastAsia"/>
                <w:spacing w:val="0"/>
                <w:sz w:val="21"/>
                <w:szCs w:val="22"/>
                <w:lang w:val="zh-CN" w:eastAsia="zh-CN" w:bidi="zh-CN"/>
              </w:rPr>
            </w:pPr>
            <w:r>
              <w:rPr>
                <w:rFonts w:hint="eastAsia" w:ascii="宋体" w:hAnsi="宋体" w:eastAsia="宋体" w:cs="宋体"/>
                <w:b/>
                <w:bCs w:val="0"/>
                <w:spacing w:val="0"/>
                <w:sz w:val="24"/>
                <w:szCs w:val="24"/>
                <w:lang w:val="en-US" w:eastAsia="zh-CN" w:bidi="zh-CN"/>
              </w:rPr>
              <w:t>三、</w:t>
            </w:r>
            <w:r>
              <w:rPr>
                <w:rFonts w:hint="eastAsia" w:ascii="宋体" w:hAnsi="宋体" w:eastAsia="宋体" w:cs="宋体"/>
                <w:b/>
                <w:bCs w:val="0"/>
                <w:spacing w:val="0"/>
                <w:sz w:val="24"/>
                <w:szCs w:val="24"/>
                <w:lang w:val="zh-CN" w:eastAsia="zh-CN" w:bidi="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000" w:type="pct"/>
            <w:vAlign w:val="center"/>
          </w:tcPr>
          <w:p>
            <w:pPr>
              <w:pStyle w:val="30"/>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center"/>
              <w:textAlignment w:val="auto"/>
              <w:rPr>
                <w:rFonts w:hint="eastAsia" w:asciiTheme="minorEastAsia" w:hAnsiTheme="minorEastAsia" w:eastAsiaTheme="minorEastAsia" w:cstheme="minorEastAsia"/>
                <w:spacing w:val="0"/>
                <w:sz w:val="21"/>
                <w:szCs w:val="22"/>
                <w:lang w:val="zh-CN" w:eastAsia="zh-CN" w:bidi="zh-CN"/>
              </w:rPr>
            </w:pPr>
            <w:r>
              <w:rPr>
                <w:rFonts w:hint="eastAsia" w:ascii="宋体" w:hAnsi="宋体" w:eastAsia="宋体" w:cs="宋体"/>
                <w:b/>
                <w:bCs/>
                <w:spacing w:val="0"/>
                <w:kern w:val="0"/>
                <w:sz w:val="24"/>
                <w:szCs w:val="24"/>
                <w:lang w:val="en-US" w:eastAsia="zh-CN" w:bidi="zh-CN"/>
              </w:rPr>
              <w:t>（一）工程概况、工程相关内容及规模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0" w:hRule="atLeast"/>
          <w:jc w:val="center"/>
        </w:trPr>
        <w:tc>
          <w:tcPr>
            <w:tcW w:w="5000" w:type="pct"/>
            <w:vAlign w:val="center"/>
          </w:tcPr>
          <w:p>
            <w:pPr>
              <w:pStyle w:val="22"/>
              <w:keepNext w:val="0"/>
              <w:keepLines w:val="0"/>
              <w:pageBreakBefore w:val="0"/>
              <w:widowControl/>
              <w:numPr>
                <w:ilvl w:val="0"/>
                <w:numId w:val="21"/>
              </w:numPr>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工程概况：</w:t>
            </w:r>
          </w:p>
          <w:p>
            <w:pPr>
              <w:pStyle w:val="22"/>
              <w:keepNext w:val="0"/>
              <w:keepLines w:val="0"/>
              <w:pageBreakBefore w:val="0"/>
              <w:widowControl/>
              <w:numPr>
                <w:ilvl w:val="0"/>
                <w:numId w:val="0"/>
              </w:numPr>
              <w:suppressLineNumbers w:val="0"/>
              <w:tabs>
                <w:tab w:val="left" w:pos="10560"/>
              </w:tabs>
              <w:kinsoku/>
              <w:wordWrap/>
              <w:overflowPunct/>
              <w:topLinePunct w:val="0"/>
              <w:autoSpaceDE w:val="0"/>
              <w:autoSpaceDN w:val="0"/>
              <w:bidi w:val="0"/>
              <w:adjustRightInd/>
              <w:snapToGrid/>
              <w:spacing w:line="240" w:lineRule="auto"/>
              <w:ind w:left="440" w:leftChars="200" w:right="185" w:rightChars="84" w:firstLine="480" w:firstLineChars="200"/>
              <w:jc w:val="both"/>
              <w:textAlignment w:val="auto"/>
              <w:rPr>
                <w:rFonts w:hint="eastAsia" w:cs="宋体"/>
                <w:b w:val="0"/>
                <w:bCs w:val="0"/>
                <w:spacing w:val="0"/>
                <w:kern w:val="0"/>
                <w:sz w:val="24"/>
                <w:szCs w:val="24"/>
                <w:lang w:val="en-US" w:eastAsia="zh-CN" w:bidi="zh-CN"/>
              </w:rPr>
            </w:pPr>
            <w:r>
              <w:rPr>
                <w:rFonts w:hint="eastAsia" w:cs="宋体"/>
                <w:b w:val="0"/>
                <w:bCs w:val="0"/>
                <w:spacing w:val="0"/>
                <w:kern w:val="0"/>
                <w:sz w:val="24"/>
                <w:szCs w:val="24"/>
                <w:lang w:val="en-US" w:eastAsia="zh-CN" w:bidi="zh-CN"/>
              </w:rPr>
              <w:t>具体位置是车管所车辆入户出口往东方向共65米长。道路坑洼不平，严重影响百姓、车辆正常出行。为了解决当前的交通困难，方便群众出行，同意由新兴县城市管理事务中心实施新兴县车管所门口段(二十四米规划路)路面硬底化工程。</w:t>
            </w:r>
          </w:p>
          <w:p>
            <w:pPr>
              <w:pStyle w:val="22"/>
              <w:keepNext w:val="0"/>
              <w:keepLines w:val="0"/>
              <w:pageBreakBefore w:val="0"/>
              <w:widowControl/>
              <w:numPr>
                <w:ilvl w:val="0"/>
                <w:numId w:val="21"/>
              </w:numPr>
              <w:suppressLineNumbers w:val="0"/>
              <w:kinsoku/>
              <w:wordWrap/>
              <w:overflowPunct/>
              <w:topLinePunct w:val="0"/>
              <w:autoSpaceDE w:val="0"/>
              <w:autoSpaceDN w:val="0"/>
              <w:bidi w:val="0"/>
              <w:adjustRightInd/>
              <w:snapToGrid/>
              <w:spacing w:line="240" w:lineRule="auto"/>
              <w:ind w:firstLine="480" w:firstLineChars="200"/>
              <w:jc w:val="both"/>
              <w:textAlignment w:val="auto"/>
              <w:rPr>
                <w:rFonts w:hint="eastAsia"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项目</w:t>
            </w:r>
            <w:r>
              <w:rPr>
                <w:rFonts w:hint="eastAsia" w:cs="宋体"/>
                <w:b w:val="0"/>
                <w:bCs w:val="0"/>
                <w:spacing w:val="0"/>
                <w:sz w:val="24"/>
                <w:szCs w:val="24"/>
                <w:lang w:val="en-US" w:eastAsia="zh-CN" w:bidi="zh-CN"/>
              </w:rPr>
              <w:t>主要</w:t>
            </w:r>
            <w:r>
              <w:rPr>
                <w:rFonts w:hint="eastAsia" w:ascii="宋体" w:hAnsi="宋体" w:eastAsia="宋体" w:cs="宋体"/>
                <w:b w:val="0"/>
                <w:bCs w:val="0"/>
                <w:spacing w:val="0"/>
                <w:sz w:val="24"/>
                <w:szCs w:val="24"/>
                <w:lang w:val="en-US" w:eastAsia="zh-CN" w:bidi="zh-CN"/>
              </w:rPr>
              <w:t>建设</w:t>
            </w:r>
            <w:r>
              <w:rPr>
                <w:rFonts w:hint="eastAsia" w:cs="宋体"/>
                <w:b w:val="0"/>
                <w:bCs w:val="0"/>
                <w:spacing w:val="0"/>
                <w:sz w:val="24"/>
                <w:szCs w:val="24"/>
                <w:lang w:val="en-US" w:eastAsia="zh-CN" w:bidi="zh-CN"/>
              </w:rPr>
              <w:t>内容及规模：</w:t>
            </w:r>
          </w:p>
          <w:p>
            <w:pPr>
              <w:keepNext w:val="0"/>
              <w:keepLines w:val="0"/>
              <w:widowControl/>
              <w:suppressLineNumbers w:val="0"/>
              <w:spacing w:line="240" w:lineRule="auto"/>
              <w:ind w:left="440" w:leftChars="200" w:firstLine="439" w:firstLineChars="183"/>
              <w:jc w:val="left"/>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项目建设地点位于新兴县新城镇车管所车辆入户出口往东</w:t>
            </w:r>
            <w:r>
              <w:rPr>
                <w:rFonts w:hint="default" w:ascii="宋体" w:hAnsi="宋体" w:eastAsia="宋体" w:cs="宋体"/>
                <w:b w:val="0"/>
                <w:bCs w:val="0"/>
                <w:spacing w:val="0"/>
                <w:kern w:val="0"/>
                <w:sz w:val="24"/>
                <w:szCs w:val="24"/>
                <w:lang w:val="en-US" w:eastAsia="zh-CN" w:bidi="zh-CN"/>
              </w:rPr>
              <w:t>方向。</w:t>
            </w:r>
          </w:p>
          <w:p>
            <w:pPr>
              <w:keepNext w:val="0"/>
              <w:keepLines w:val="0"/>
              <w:widowControl/>
              <w:suppressLineNumbers w:val="0"/>
              <w:spacing w:line="240" w:lineRule="auto"/>
              <w:ind w:left="440" w:leftChars="200" w:firstLine="439" w:firstLineChars="183"/>
              <w:jc w:val="left"/>
              <w:rPr>
                <w:rFonts w:hint="default"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平整场地987.86平方米；浇筑水泥混凝土路面980平方米；铺设</w:t>
            </w:r>
            <w:r>
              <w:rPr>
                <w:rFonts w:hint="default" w:ascii="宋体" w:hAnsi="宋体" w:eastAsia="宋体" w:cs="宋体"/>
                <w:b w:val="0"/>
                <w:bCs w:val="0"/>
                <w:spacing w:val="0"/>
                <w:kern w:val="0"/>
                <w:sz w:val="24"/>
                <w:szCs w:val="24"/>
                <w:lang w:val="en-US" w:eastAsia="zh-CN" w:bidi="zh-CN"/>
              </w:rPr>
              <w:t>DN500HDPE双壁波纹管121米；砌筑雨水检查井4座、雨水井7座等工程。</w:t>
            </w:r>
          </w:p>
        </w:tc>
      </w:tr>
    </w:tbl>
    <w:p/>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4"/>
        <w:rPr>
          <w:rFonts w:hint="eastAsia" w:ascii="仿宋" w:hAnsi="仿宋" w:eastAsia="仿宋" w:cs="仿宋"/>
          <w:sz w:val="2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0"/>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8"/>
        <w:numPr>
          <w:ilvl w:val="0"/>
          <w:numId w:val="23"/>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8"/>
        <w:numPr>
          <w:ilvl w:val="0"/>
          <w:numId w:val="23"/>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新兴县城市管理事务中心</w:t>
      </w:r>
      <w:r>
        <w:rPr>
          <w:rFonts w:hint="eastAsia" w:ascii="仿宋" w:hAnsi="仿宋" w:eastAsia="仿宋" w:cs="仿宋"/>
          <w:sz w:val="21"/>
          <w:lang w:val="en-US" w:eastAsia="zh-CN"/>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4"/>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3"/>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8"/>
        <w:numPr>
          <w:ilvl w:val="0"/>
          <w:numId w:val="23"/>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0"/>
        <w:keepNext w:val="0"/>
        <w:keepLines w:val="0"/>
        <w:pageBreakBefore w:val="0"/>
        <w:widowControl w:val="0"/>
        <w:numPr>
          <w:ilvl w:val="1"/>
          <w:numId w:val="25"/>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8"/>
        <w:numPr>
          <w:ilvl w:val="0"/>
          <w:numId w:val="23"/>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3"/>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3"/>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1613"/>
        <w:gridCol w:w="1613"/>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ind w:left="112"/>
              <w:jc w:val="center"/>
              <w:rPr>
                <w:rFonts w:hint="eastAsia" w:ascii="仿宋" w:hAnsi="仿宋" w:eastAsia="仿宋" w:cs="仿宋"/>
                <w:sz w:val="21"/>
              </w:rPr>
            </w:pPr>
          </w:p>
          <w:p>
            <w:pPr>
              <w:pStyle w:val="30"/>
              <w:ind w:left="112"/>
              <w:jc w:val="center"/>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lang w:val="en-US" w:eastAsia="zh-CN"/>
              </w:rPr>
              <w:t>项目</w:t>
            </w:r>
            <w:r>
              <w:rPr>
                <w:rFonts w:hint="eastAsia" w:ascii="仿宋" w:hAnsi="仿宋" w:eastAsia="仿宋" w:cs="仿宋"/>
                <w:sz w:val="21"/>
              </w:rPr>
              <w:t>类型费率</w:t>
            </w:r>
          </w:p>
          <w:p>
            <w:pPr>
              <w:pStyle w:val="30"/>
              <w:ind w:left="112"/>
              <w:jc w:val="center"/>
              <w:rPr>
                <w:rFonts w:hint="eastAsia" w:ascii="仿宋" w:hAnsi="仿宋" w:eastAsia="仿宋" w:cs="仿宋"/>
                <w:sz w:val="21"/>
              </w:rPr>
            </w:pPr>
          </w:p>
        </w:tc>
        <w:tc>
          <w:tcPr>
            <w:tcW w:w="1613" w:type="dxa"/>
            <w:vAlign w:val="center"/>
          </w:tcPr>
          <w:p>
            <w:pPr>
              <w:pStyle w:val="30"/>
              <w:ind w:left="112"/>
              <w:jc w:val="center"/>
              <w:rPr>
                <w:rFonts w:hint="eastAsia" w:ascii="仿宋" w:hAnsi="仿宋" w:eastAsia="仿宋" w:cs="仿宋"/>
                <w:sz w:val="21"/>
                <w:lang w:eastAsia="zh-CN"/>
              </w:rPr>
            </w:pPr>
            <w:r>
              <w:rPr>
                <w:rFonts w:hint="eastAsia" w:ascii="仿宋" w:hAnsi="仿宋" w:eastAsia="仿宋" w:cs="仿宋"/>
                <w:sz w:val="21"/>
              </w:rPr>
              <w:t>货物</w:t>
            </w:r>
            <w:r>
              <w:rPr>
                <w:rFonts w:hint="eastAsia" w:ascii="仿宋" w:hAnsi="仿宋" w:eastAsia="仿宋" w:cs="仿宋"/>
                <w:sz w:val="21"/>
                <w:lang w:val="en-US" w:eastAsia="zh-CN"/>
              </w:rPr>
              <w:t>采购</w:t>
            </w:r>
          </w:p>
        </w:tc>
        <w:tc>
          <w:tcPr>
            <w:tcW w:w="1613" w:type="dxa"/>
            <w:vAlign w:val="center"/>
          </w:tcPr>
          <w:p>
            <w:pPr>
              <w:pStyle w:val="30"/>
              <w:ind w:left="112"/>
              <w:jc w:val="center"/>
              <w:rPr>
                <w:rFonts w:hint="eastAsia" w:ascii="仿宋" w:hAnsi="仿宋" w:eastAsia="仿宋" w:cs="仿宋"/>
                <w:sz w:val="21"/>
                <w:lang w:val="en-US" w:eastAsia="zh-CN"/>
              </w:rPr>
            </w:pPr>
            <w:r>
              <w:rPr>
                <w:rFonts w:hint="eastAsia" w:ascii="仿宋" w:hAnsi="仿宋" w:eastAsia="仿宋" w:cs="仿宋"/>
                <w:sz w:val="21"/>
              </w:rPr>
              <w:t>服务</w:t>
            </w:r>
            <w:r>
              <w:rPr>
                <w:rFonts w:hint="eastAsia" w:ascii="仿宋" w:hAnsi="仿宋" w:eastAsia="仿宋" w:cs="仿宋"/>
                <w:sz w:val="21"/>
                <w:lang w:val="en-US" w:eastAsia="zh-CN"/>
              </w:rPr>
              <w:t>采购</w:t>
            </w:r>
          </w:p>
        </w:tc>
        <w:tc>
          <w:tcPr>
            <w:tcW w:w="1613" w:type="dxa"/>
            <w:vAlign w:val="center"/>
          </w:tcPr>
          <w:p>
            <w:pPr>
              <w:pStyle w:val="30"/>
              <w:ind w:left="112"/>
              <w:jc w:val="center"/>
              <w:rPr>
                <w:rFonts w:hint="eastAsia" w:ascii="仿宋" w:hAnsi="仿宋" w:eastAsia="仿宋" w:cs="仿宋"/>
                <w:sz w:val="21"/>
                <w:lang w:val="en-US" w:eastAsia="zh-CN"/>
              </w:rPr>
            </w:pPr>
            <w:r>
              <w:rPr>
                <w:rFonts w:hint="eastAsia" w:ascii="仿宋" w:hAnsi="仿宋" w:eastAsia="仿宋" w:cs="仿宋"/>
                <w:sz w:val="21"/>
              </w:rPr>
              <w:t>工程</w:t>
            </w:r>
            <w:r>
              <w:rPr>
                <w:rFonts w:hint="eastAsia" w:ascii="仿宋" w:hAnsi="仿宋" w:eastAsia="仿宋" w:cs="仿宋"/>
                <w:sz w:val="21"/>
                <w:lang w:val="en-US" w:eastAsia="zh-CN"/>
              </w:rPr>
              <w:t>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1.5%</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1.5%</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1.1%</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0.8%</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0.7%</w:t>
            </w:r>
          </w:p>
        </w:tc>
      </w:tr>
    </w:tbl>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spacing w:before="131"/>
        <w:ind w:right="0"/>
        <w:jc w:val="left"/>
        <w:rPr>
          <w:rFonts w:hint="eastAsia" w:ascii="仿宋" w:hAnsi="仿宋" w:eastAsia="仿宋" w:cs="仿宋"/>
          <w:b/>
          <w:sz w:val="32"/>
        </w:rPr>
      </w:pPr>
      <w:bookmarkStart w:id="18" w:name="二、谈判文件"/>
      <w:bookmarkEnd w:id="18"/>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8"/>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3"/>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4"/>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8"/>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0"/>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8"/>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3"/>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24"/>
        <w:rPr>
          <w:rFonts w:hint="eastAsia" w:ascii="仿宋" w:hAnsi="仿宋" w:eastAsia="仿宋" w:cs="仿宋"/>
          <w:sz w:val="21"/>
          <w:szCs w:val="21"/>
        </w:rPr>
      </w:pPr>
    </w:p>
    <w:p>
      <w:pPr>
        <w:pStyle w:val="24"/>
        <w:rPr>
          <w:rFonts w:hint="eastAsia" w:ascii="仿宋" w:hAnsi="仿宋" w:eastAsia="仿宋" w:cs="仿宋"/>
          <w:sz w:val="21"/>
          <w:szCs w:val="21"/>
        </w:rPr>
      </w:pPr>
    </w:p>
    <w:p>
      <w:pPr>
        <w:pStyle w:val="24"/>
        <w:rPr>
          <w:rFonts w:hint="eastAsia" w:ascii="仿宋" w:hAnsi="仿宋" w:eastAsia="仿宋" w:cs="仿宋"/>
          <w:sz w:val="21"/>
          <w:szCs w:val="21"/>
        </w:rPr>
      </w:pPr>
    </w:p>
    <w:p>
      <w:pPr>
        <w:pStyle w:val="4"/>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none"/>
        </w:rPr>
      </w:pPr>
      <w:r>
        <w:rPr>
          <w:rFonts w:hint="eastAsia" w:ascii="仿宋" w:hAnsi="仿宋" w:eastAsia="仿宋" w:cs="仿宋"/>
          <w:highlight w:val="none"/>
        </w:rPr>
        <w:t>本项目采用总价包干形式结算。</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highlight w:val="none"/>
          <w:lang w:val="en-US" w:eastAsia="zh-CN"/>
        </w:rPr>
        <w:t>如本项目成</w:t>
      </w:r>
      <w:r>
        <w:rPr>
          <w:rFonts w:hint="eastAsia" w:ascii="仿宋" w:hAnsi="仿宋" w:eastAsia="仿宋" w:cs="仿宋"/>
          <w:lang w:val="en-US" w:eastAsia="zh-CN"/>
        </w:rPr>
        <w:t>交供应商与采购人在合同执行过程中因税率或其他法律法规和政策调整影响合同执行的,甲乙双方可自行约定调整或补充合同内容</w:t>
      </w:r>
      <w:r>
        <w:rPr>
          <w:rFonts w:hint="eastAsia" w:ascii="仿宋" w:hAnsi="仿宋" w:eastAsia="仿宋" w:cs="仿宋"/>
        </w:rPr>
        <w:t>。</w:t>
      </w:r>
    </w:p>
    <w:p>
      <w:pPr>
        <w:keepNext w:val="0"/>
        <w:keepLines w:val="0"/>
        <w:pageBreakBefore w:val="0"/>
        <w:numPr>
          <w:ilvl w:val="0"/>
          <w:numId w:val="28"/>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五、谈判保证金"/>
      <w:bookmarkEnd w:id="24"/>
      <w:bookmarkStart w:id="25" w:name="六、谈判响应文件的份数、签署、封装、递交和谈判有效期"/>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8"/>
        <w:keepNext w:val="0"/>
        <w:keepLines w:val="0"/>
        <w:pageBreakBefore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3"/>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5"/>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0"/>
        <w:spacing w:line="360" w:lineRule="auto"/>
        <w:rPr>
          <w:rFonts w:hint="eastAsia" w:ascii="仿宋" w:hAnsi="仿宋" w:eastAsia="仿宋" w:cs="仿宋"/>
          <w:sz w:val="20"/>
        </w:rPr>
      </w:pP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8"/>
        <w:numPr>
          <w:ilvl w:val="0"/>
          <w:numId w:val="23"/>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4"/>
        <w:numPr>
          <w:ilvl w:val="0"/>
          <w:numId w:val="29"/>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8"/>
        <w:numPr>
          <w:ilvl w:val="0"/>
          <w:numId w:val="23"/>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3"/>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3"/>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0"/>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3"/>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3"/>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8"/>
        <w:numPr>
          <w:ilvl w:val="0"/>
          <w:numId w:val="23"/>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8"/>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8"/>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4"/>
        <w:keepNext w:val="0"/>
        <w:keepLines w:val="0"/>
        <w:pageBreakBefore w:val="0"/>
        <w:widowControl w:val="0"/>
        <w:numPr>
          <w:ilvl w:val="0"/>
          <w:numId w:val="3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8"/>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4"/>
        <w:keepNext w:val="0"/>
        <w:keepLines w:val="0"/>
        <w:pageBreakBefore w:val="0"/>
        <w:widowControl w:val="0"/>
        <w:numPr>
          <w:ilvl w:val="0"/>
          <w:numId w:val="36"/>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8"/>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8"/>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8"/>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8"/>
        <w:keepNext w:val="0"/>
        <w:keepLines w:val="0"/>
        <w:pageBreakBefore w:val="0"/>
        <w:widowControl w:val="0"/>
        <w:numPr>
          <w:ilvl w:val="0"/>
          <w:numId w:val="37"/>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0"/>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7"/>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4"/>
        <w:keepNext w:val="0"/>
        <w:keepLines w:val="0"/>
        <w:pageBreakBefore w:val="0"/>
        <w:widowControl w:val="0"/>
        <w:numPr>
          <w:ilvl w:val="0"/>
          <w:numId w:val="38"/>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8"/>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0"/>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4"/>
        <w:keepNext w:val="0"/>
        <w:keepLines w:val="0"/>
        <w:pageBreakBefore w:val="0"/>
        <w:widowControl w:val="0"/>
        <w:numPr>
          <w:ilvl w:val="0"/>
          <w:numId w:val="43"/>
        </w:numPr>
        <w:kinsoku/>
        <w:wordWrap/>
        <w:overflowPunct/>
        <w:topLinePunct w:val="0"/>
        <w:autoSpaceDE w:val="0"/>
        <w:autoSpaceDN w:val="0"/>
        <w:bidi w:val="0"/>
        <w:adjustRightInd/>
        <w:snapToGrid/>
        <w:spacing w:before="166" w:line="24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8"/>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0"/>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7</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建设主管部门认定的市政工程施工总承包三级(或以上)资质且获得建设行政主管部门核发的安全生产许可证(在有效期内）</w:t>
            </w:r>
          </w:p>
        </w:tc>
      </w:tr>
    </w:tbl>
    <w:p>
      <w:pPr>
        <w:pStyle w:val="10"/>
        <w:spacing w:line="360" w:lineRule="auto"/>
        <w:ind w:left="100"/>
        <w:rPr>
          <w:rFonts w:hint="eastAsia" w:ascii="仿宋" w:hAnsi="仿宋" w:eastAsia="仿宋" w:cs="仿宋"/>
          <w:sz w:val="22"/>
          <w:szCs w:val="22"/>
          <w:highlight w:val="none"/>
          <w:lang w:val="zh-CN" w:eastAsia="zh-CN" w:bidi="zh-CN"/>
        </w:rPr>
      </w:pPr>
    </w:p>
    <w:p>
      <w:pPr>
        <w:pStyle w:val="10"/>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7"/>
        <w:rPr>
          <w:rFonts w:hint="eastAsia" w:ascii="仿宋" w:hAnsi="仿宋" w:eastAsia="仿宋" w:cs="仿宋"/>
          <w:b/>
          <w:sz w:val="27"/>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0"/>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10"/>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4"/>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4"/>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4"/>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4"/>
        <w:jc w:val="center"/>
        <w:rPr>
          <w:color w:val="auto"/>
        </w:rPr>
      </w:pPr>
    </w:p>
    <w:p>
      <w:pPr>
        <w:pStyle w:val="24"/>
        <w:jc w:val="center"/>
        <w:rPr>
          <w:color w:val="auto"/>
        </w:rPr>
      </w:pPr>
    </w:p>
    <w:p>
      <w:pPr>
        <w:pStyle w:val="24"/>
        <w:ind w:left="0" w:leftChars="0" w:firstLine="0" w:firstLineChars="0"/>
        <w:jc w:val="center"/>
        <w:rPr>
          <w:color w:val="auto"/>
        </w:rPr>
      </w:pPr>
    </w:p>
    <w:p>
      <w:pPr>
        <w:pStyle w:val="24"/>
        <w:rPr>
          <w:color w:val="auto"/>
        </w:rPr>
      </w:pPr>
    </w:p>
    <w:p>
      <w:pPr>
        <w:pStyle w:val="24"/>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4"/>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4"/>
        <w:rPr>
          <w:color w:val="auto"/>
          <w:sz w:val="28"/>
          <w:szCs w:val="28"/>
        </w:rPr>
      </w:pPr>
    </w:p>
    <w:p>
      <w:pPr>
        <w:pStyle w:val="24"/>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2"/>
        <w:widowControl/>
        <w:spacing w:line="360" w:lineRule="auto"/>
        <w:ind w:left="0" w:leftChars="0" w:firstLine="0" w:firstLineChars="0"/>
        <w:jc w:val="both"/>
        <w:rPr>
          <w:rFonts w:ascii="宋体" w:hAnsi="宋体" w:cs="宋体"/>
          <w:color w:val="auto"/>
          <w:kern w:val="0"/>
          <w:sz w:val="24"/>
          <w:szCs w:val="24"/>
        </w:rPr>
      </w:pPr>
      <w:bookmarkStart w:id="51" w:name="_Toc3921"/>
      <w:r>
        <w:rPr>
          <w:rFonts w:hint="eastAsia" w:ascii="宋体" w:hAnsi="宋体" w:cs="宋体"/>
          <w:bCs/>
          <w:color w:val="auto"/>
          <w:sz w:val="24"/>
          <w:szCs w:val="24"/>
          <w:lang w:val="en-US" w:eastAsia="zh-CN"/>
        </w:rPr>
        <w:t>甲方</w:t>
      </w:r>
      <w:r>
        <w:rPr>
          <w:rFonts w:ascii="宋体" w:hAnsi="宋体" w:cs="宋体"/>
          <w:bCs/>
          <w:color w:val="auto"/>
          <w:sz w:val="24"/>
          <w:szCs w:val="24"/>
        </w:rPr>
        <w:t>：</w:t>
      </w:r>
      <w:r>
        <w:rPr>
          <w:rFonts w:hint="eastAsia" w:cs="宋体"/>
          <w:bCs/>
          <w:color w:val="auto"/>
          <w:sz w:val="24"/>
          <w:szCs w:val="24"/>
          <w:u w:val="single"/>
          <w:lang w:val="en-US" w:eastAsia="zh-CN"/>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以下简称“甲方”</w:t>
      </w:r>
      <w:r>
        <w:rPr>
          <w:rFonts w:hint="eastAsia" w:cs="宋体"/>
          <w:b w:val="0"/>
          <w:bCs w:val="0"/>
          <w:color w:val="auto"/>
          <w:sz w:val="24"/>
          <w:szCs w:val="24"/>
          <w:u w:val="none"/>
          <w:lang w:eastAsia="zh-CN"/>
        </w:rPr>
        <w:t>）</w:t>
      </w:r>
      <w:bookmarkEnd w:id="51"/>
      <w:r>
        <w:rPr>
          <w:rFonts w:cs="宋体"/>
          <w:b w:val="0"/>
          <w:bCs w:val="0"/>
          <w:color w:val="auto"/>
          <w:sz w:val="24"/>
          <w:szCs w:val="24"/>
          <w:u w:val="none"/>
        </w:rPr>
        <w:t xml:space="preserve">  </w:t>
      </w:r>
      <w:r>
        <w:rPr>
          <w:rFonts w:cs="宋体"/>
          <w:bCs/>
          <w:color w:val="auto"/>
          <w:sz w:val="24"/>
          <w:szCs w:val="24"/>
          <w:u w:val="single"/>
        </w:rPr>
        <w:t xml:space="preserve">                     </w:t>
      </w:r>
      <w:r>
        <w:rPr>
          <w:rFonts w:ascii="宋体" w:hAnsi="宋体" w:cs="宋体"/>
          <w:color w:val="auto"/>
          <w:kern w:val="0"/>
          <w:sz w:val="24"/>
          <w:szCs w:val="24"/>
        </w:rPr>
        <w:t xml:space="preserve">     </w:t>
      </w:r>
    </w:p>
    <w:p>
      <w:pPr>
        <w:pStyle w:val="23"/>
        <w:spacing w:before="0" w:beforeAutospacing="0" w:after="0" w:afterAutospacing="0" w:line="360" w:lineRule="auto"/>
        <w:jc w:val="both"/>
        <w:rPr>
          <w:color w:val="auto"/>
          <w:sz w:val="24"/>
          <w:szCs w:val="24"/>
          <w:u w:val="single"/>
        </w:rPr>
      </w:pPr>
      <w:r>
        <w:rPr>
          <w:rFonts w:hint="eastAsia"/>
          <w:b/>
          <w:bCs/>
          <w:color w:val="auto"/>
          <w:sz w:val="24"/>
          <w:szCs w:val="24"/>
          <w:lang w:val="en-US" w:eastAsia="zh-CN"/>
        </w:rPr>
        <w:t>乙方</w:t>
      </w:r>
      <w:r>
        <w:rPr>
          <w:b/>
          <w:bCs/>
          <w:color w:val="auto"/>
          <w:sz w:val="24"/>
          <w:szCs w:val="24"/>
        </w:rPr>
        <w:t>：</w:t>
      </w:r>
      <w:r>
        <w:rPr>
          <w:rFonts w:hint="eastAsia"/>
          <w:b/>
          <w:bCs/>
          <w:color w:val="auto"/>
          <w:sz w:val="24"/>
          <w:szCs w:val="24"/>
          <w:u w:val="single"/>
          <w:lang w:val="en-US" w:eastAsia="zh-CN"/>
        </w:rPr>
        <w:t xml:space="preserve">                   </w:t>
      </w:r>
      <w:r>
        <w:rPr>
          <w:b w:val="0"/>
          <w:bCs w:val="0"/>
          <w:color w:val="auto"/>
          <w:sz w:val="24"/>
          <w:szCs w:val="24"/>
          <w:u w:val="none"/>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以下简称“乙方”</w:t>
      </w:r>
      <w:r>
        <w:rPr>
          <w:rFonts w:hint="eastAsia" w:cs="宋体"/>
          <w:b w:val="0"/>
          <w:bCs w:val="0"/>
          <w:color w:val="auto"/>
          <w:sz w:val="24"/>
          <w:szCs w:val="24"/>
          <w:u w:val="none"/>
          <w:lang w:eastAsia="zh-CN"/>
        </w:rPr>
        <w:t>）</w:t>
      </w:r>
      <w:r>
        <w:rPr>
          <w:rFonts w:cs="宋体"/>
          <w:b w:val="0"/>
          <w:bCs w:val="0"/>
          <w:color w:val="auto"/>
          <w:sz w:val="24"/>
          <w:szCs w:val="24"/>
          <w:u w:val="none"/>
        </w:rPr>
        <w:t xml:space="preserve"> </w:t>
      </w:r>
      <w:r>
        <w:rPr>
          <w:b/>
          <w:bCs/>
          <w:color w:val="auto"/>
          <w:sz w:val="24"/>
          <w:szCs w:val="24"/>
          <w:u w:val="single"/>
        </w:rPr>
        <w:t xml:space="preserve">                    </w:t>
      </w:r>
    </w:p>
    <w:p>
      <w:pPr>
        <w:pStyle w:val="23"/>
        <w:spacing w:before="0" w:beforeAutospacing="0" w:after="0" w:afterAutospacing="0" w:line="360" w:lineRule="auto"/>
        <w:jc w:val="both"/>
        <w:rPr>
          <w:color w:val="auto"/>
          <w:sz w:val="24"/>
          <w:szCs w:val="24"/>
          <w:u w:val="single"/>
        </w:rPr>
      </w:pPr>
    </w:p>
    <w:p>
      <w:pPr>
        <w:pStyle w:val="23"/>
        <w:spacing w:before="0" w:beforeAutospacing="0" w:after="0" w:afterAutospacing="0" w:line="360" w:lineRule="auto"/>
        <w:ind w:firstLine="480" w:firstLineChars="200"/>
        <w:jc w:val="both"/>
        <w:rPr>
          <w:color w:val="auto"/>
          <w:sz w:val="24"/>
          <w:szCs w:val="24"/>
        </w:rPr>
      </w:pPr>
      <w:r>
        <w:rPr>
          <w:color w:val="auto"/>
          <w:sz w:val="24"/>
          <w:szCs w:val="24"/>
        </w:rPr>
        <w:t>根据</w:t>
      </w:r>
      <w:r>
        <w:rPr>
          <w:rFonts w:hint="eastAsia"/>
          <w:color w:val="auto"/>
          <w:sz w:val="24"/>
          <w:szCs w:val="24"/>
          <w:lang w:eastAsia="zh-CN"/>
        </w:rPr>
        <w:t>《</w:t>
      </w:r>
      <w:r>
        <w:rPr>
          <w:rFonts w:hint="eastAsia"/>
          <w:color w:val="auto"/>
          <w:sz w:val="24"/>
          <w:szCs w:val="24"/>
        </w:rPr>
        <w:t>中华人民共和国民法典》</w:t>
      </w:r>
      <w:r>
        <w:rPr>
          <w:rFonts w:hint="eastAsia"/>
          <w:color w:val="auto"/>
          <w:sz w:val="24"/>
          <w:szCs w:val="24"/>
          <w:lang w:eastAsia="zh-CN"/>
        </w:rPr>
        <w:t>、</w:t>
      </w:r>
      <w:r>
        <w:rPr>
          <w:color w:val="auto"/>
          <w:sz w:val="24"/>
          <w:szCs w:val="24"/>
        </w:rPr>
        <w:t>《中华人民共和国</w:t>
      </w:r>
      <w:r>
        <w:rPr>
          <w:rFonts w:hint="eastAsia"/>
          <w:color w:val="auto"/>
          <w:sz w:val="24"/>
          <w:szCs w:val="24"/>
          <w:lang w:val="en-US" w:eastAsia="zh-CN"/>
        </w:rPr>
        <w:t>建筑</w:t>
      </w:r>
      <w:r>
        <w:rPr>
          <w:color w:val="auto"/>
          <w:sz w:val="24"/>
          <w:szCs w:val="24"/>
        </w:rPr>
        <w:t>法》</w:t>
      </w:r>
      <w:r>
        <w:rPr>
          <w:rFonts w:hint="eastAsia"/>
          <w:color w:val="auto"/>
          <w:sz w:val="24"/>
          <w:szCs w:val="24"/>
          <w:lang w:val="en-US" w:eastAsia="zh-CN"/>
        </w:rPr>
        <w:t>及有关法律规定，遵循平等、自愿、公平和诚实信用的原则，双方就</w:t>
      </w:r>
      <w:r>
        <w:rPr>
          <w:color w:val="auto"/>
          <w:sz w:val="24"/>
          <w:szCs w:val="24"/>
          <w:u w:val="single"/>
        </w:rPr>
        <w:t xml:space="preserve"> </w:t>
      </w:r>
      <w:r>
        <w:rPr>
          <w:rFonts w:hint="eastAsia"/>
          <w:color w:val="auto"/>
          <w:sz w:val="24"/>
          <w:szCs w:val="24"/>
          <w:u w:val="single"/>
          <w:lang w:val="en-US" w:eastAsia="zh-CN"/>
        </w:rPr>
        <w:t xml:space="preserve">           （工程名称）</w:t>
      </w:r>
      <w:r>
        <w:rPr>
          <w:rFonts w:hint="eastAsia"/>
          <w:color w:val="auto"/>
          <w:sz w:val="24"/>
          <w:szCs w:val="24"/>
          <w:u w:val="none"/>
          <w:lang w:val="en-US" w:eastAsia="zh-CN"/>
        </w:rPr>
        <w:t>施工及有关事项协商一致，共同达成如下协议：</w:t>
      </w:r>
    </w:p>
    <w:p>
      <w:pPr>
        <w:pStyle w:val="23"/>
        <w:spacing w:before="0" w:beforeAutospacing="0" w:after="0" w:afterAutospacing="0" w:line="360" w:lineRule="auto"/>
        <w:jc w:val="both"/>
        <w:rPr>
          <w:b/>
          <w:bCs/>
          <w:color w:val="auto"/>
          <w:sz w:val="24"/>
          <w:szCs w:val="24"/>
        </w:rPr>
      </w:pPr>
      <w:r>
        <w:rPr>
          <w:b/>
          <w:bCs/>
          <w:color w:val="auto"/>
          <w:sz w:val="24"/>
          <w:szCs w:val="24"/>
        </w:rPr>
        <w:t>一、工程概况</w:t>
      </w:r>
    </w:p>
    <w:p>
      <w:pPr>
        <w:pStyle w:val="23"/>
        <w:spacing w:before="0" w:beforeAutospacing="0" w:after="0" w:afterAutospacing="0" w:line="360" w:lineRule="auto"/>
        <w:ind w:firstLine="480" w:firstLineChars="200"/>
        <w:jc w:val="both"/>
        <w:rPr>
          <w:color w:val="auto"/>
          <w:sz w:val="24"/>
          <w:szCs w:val="24"/>
          <w:u w:val="none"/>
        </w:rPr>
      </w:pPr>
      <w:r>
        <w:rPr>
          <w:color w:val="auto"/>
          <w:sz w:val="24"/>
          <w:szCs w:val="24"/>
        </w:rPr>
        <w:t>1、工程名称</w:t>
      </w:r>
      <w:r>
        <w:rPr>
          <w:color w:val="auto"/>
          <w:sz w:val="24"/>
          <w:szCs w:val="24"/>
          <w:u w:val="none"/>
        </w:rPr>
        <w:t>：</w:t>
      </w:r>
    </w:p>
    <w:p>
      <w:pPr>
        <w:pStyle w:val="23"/>
        <w:spacing w:before="0" w:beforeAutospacing="0" w:after="0" w:afterAutospacing="0" w:line="360" w:lineRule="auto"/>
        <w:ind w:firstLine="480" w:firstLineChars="200"/>
        <w:jc w:val="both"/>
        <w:rPr>
          <w:rFonts w:hint="eastAsia"/>
          <w:color w:val="auto"/>
          <w:sz w:val="24"/>
          <w:szCs w:val="24"/>
          <w:u w:val="none"/>
          <w:lang w:val="en-US" w:eastAsia="zh-CN"/>
        </w:rPr>
      </w:pPr>
      <w:r>
        <w:rPr>
          <w:rFonts w:hint="eastAsia"/>
          <w:color w:val="auto"/>
          <w:sz w:val="24"/>
          <w:szCs w:val="24"/>
          <w:u w:val="none"/>
          <w:lang w:val="en-US" w:eastAsia="zh-CN"/>
        </w:rPr>
        <w:t>2、工程地点：</w:t>
      </w:r>
    </w:p>
    <w:p>
      <w:pPr>
        <w:pStyle w:val="23"/>
        <w:spacing w:before="0" w:beforeAutospacing="0" w:after="0" w:afterAutospacing="0" w:line="360" w:lineRule="auto"/>
        <w:ind w:firstLine="480" w:firstLineChars="200"/>
        <w:jc w:val="both"/>
        <w:rPr>
          <w:rFonts w:hint="eastAsia" w:eastAsia="宋体"/>
          <w:color w:val="auto"/>
          <w:sz w:val="24"/>
          <w:szCs w:val="24"/>
          <w:u w:val="none"/>
          <w:lang w:eastAsia="zh-CN"/>
        </w:rPr>
      </w:pPr>
      <w:r>
        <w:rPr>
          <w:rFonts w:hint="eastAsia"/>
          <w:color w:val="auto"/>
          <w:sz w:val="24"/>
          <w:szCs w:val="24"/>
          <w:u w:val="none"/>
          <w:lang w:val="en-US" w:eastAsia="zh-CN"/>
        </w:rPr>
        <w:t>4</w:t>
      </w:r>
      <w:r>
        <w:rPr>
          <w:color w:val="auto"/>
          <w:sz w:val="24"/>
          <w:szCs w:val="24"/>
          <w:u w:val="none"/>
        </w:rPr>
        <w:t>、</w:t>
      </w:r>
      <w:r>
        <w:rPr>
          <w:rFonts w:hint="eastAsia"/>
          <w:color w:val="auto"/>
          <w:sz w:val="24"/>
          <w:szCs w:val="24"/>
          <w:u w:val="none"/>
          <w:lang w:val="en-US" w:eastAsia="zh-CN"/>
        </w:rPr>
        <w:t>工程</w:t>
      </w:r>
      <w:r>
        <w:rPr>
          <w:color w:val="auto"/>
          <w:sz w:val="24"/>
          <w:szCs w:val="24"/>
          <w:u w:val="none"/>
        </w:rPr>
        <w:t>内容：</w:t>
      </w:r>
    </w:p>
    <w:p>
      <w:pPr>
        <w:pStyle w:val="10"/>
        <w:spacing w:line="360" w:lineRule="auto"/>
        <w:ind w:left="0" w:firstLine="480" w:firstLineChars="200"/>
        <w:rPr>
          <w:rFonts w:hint="default" w:eastAsia="宋体"/>
          <w:color w:val="auto"/>
          <w:sz w:val="24"/>
          <w:szCs w:val="24"/>
          <w:u w:val="none"/>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工程承包范围：</w:t>
      </w:r>
    </w:p>
    <w:p>
      <w:pPr>
        <w:pStyle w:val="23"/>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二、合同工期</w:t>
      </w:r>
      <w:r>
        <w:rPr>
          <w:rFonts w:hint="eastAsia"/>
          <w:b/>
          <w:bCs/>
          <w:color w:val="auto"/>
          <w:sz w:val="24"/>
          <w:szCs w:val="24"/>
          <w:lang w:eastAsia="zh-CN"/>
        </w:rPr>
        <w:t>、</w:t>
      </w:r>
      <w:r>
        <w:rPr>
          <w:rFonts w:hint="eastAsia"/>
          <w:b/>
          <w:bCs/>
          <w:color w:val="auto"/>
          <w:sz w:val="24"/>
          <w:szCs w:val="24"/>
          <w:lang w:val="en-US" w:eastAsia="zh-CN"/>
        </w:rPr>
        <w:t>保修期</w:t>
      </w:r>
    </w:p>
    <w:p>
      <w:pPr>
        <w:pStyle w:val="23"/>
        <w:spacing w:before="0" w:beforeAutospacing="0" w:after="0" w:afterAutospacing="0" w:line="360" w:lineRule="auto"/>
        <w:ind w:firstLine="480" w:firstLineChars="200"/>
        <w:jc w:val="both"/>
        <w:rPr>
          <w:rFonts w:hint="eastAsia"/>
          <w:color w:val="auto"/>
          <w:sz w:val="24"/>
          <w:szCs w:val="24"/>
          <w:lang w:val="en-US" w:eastAsia="zh-CN"/>
        </w:rPr>
      </w:pPr>
      <w:r>
        <w:rPr>
          <w:color w:val="auto"/>
          <w:sz w:val="24"/>
          <w:szCs w:val="24"/>
        </w:rPr>
        <w:t>1、</w:t>
      </w:r>
      <w:r>
        <w:rPr>
          <w:rFonts w:hint="eastAsia"/>
          <w:color w:val="auto"/>
          <w:sz w:val="24"/>
          <w:szCs w:val="24"/>
          <w:lang w:val="en-US" w:eastAsia="zh-CN"/>
        </w:rPr>
        <w:t>项目完成时间：</w:t>
      </w:r>
    </w:p>
    <w:p>
      <w:pPr>
        <w:pStyle w:val="23"/>
        <w:spacing w:before="0" w:beforeAutospacing="0" w:after="0" w:afterAutospacing="0" w:line="360" w:lineRule="auto"/>
        <w:ind w:firstLine="480" w:firstLineChars="200"/>
        <w:jc w:val="both"/>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保修期：</w:t>
      </w:r>
    </w:p>
    <w:p>
      <w:pPr>
        <w:pStyle w:val="23"/>
        <w:spacing w:before="0" w:beforeAutospacing="0" w:after="0" w:afterAutospacing="0" w:line="360" w:lineRule="auto"/>
        <w:jc w:val="both"/>
        <w:rPr>
          <w:b/>
          <w:bCs/>
          <w:color w:val="auto"/>
          <w:sz w:val="24"/>
          <w:szCs w:val="24"/>
        </w:rPr>
      </w:pPr>
      <w:r>
        <w:rPr>
          <w:b/>
          <w:bCs/>
          <w:color w:val="auto"/>
          <w:sz w:val="24"/>
          <w:szCs w:val="24"/>
        </w:rPr>
        <w:t>三、合同金额</w:t>
      </w:r>
    </w:p>
    <w:p>
      <w:pPr>
        <w:pStyle w:val="23"/>
        <w:spacing w:before="0" w:beforeAutospacing="0" w:after="0" w:afterAutospacing="0" w:line="360" w:lineRule="auto"/>
        <w:jc w:val="both"/>
        <w:rPr>
          <w:b/>
          <w:bCs/>
          <w:color w:val="auto"/>
          <w:sz w:val="24"/>
          <w:szCs w:val="24"/>
        </w:rPr>
      </w:pPr>
      <w:r>
        <w:rPr>
          <w:b/>
          <w:bCs/>
          <w:color w:val="auto"/>
          <w:sz w:val="24"/>
          <w:szCs w:val="24"/>
        </w:rPr>
        <w:t>四、付款方式</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29"/>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690" w:leftChars="150" w:right="110" w:rightChars="50" w:hanging="360" w:hangingChars="150"/>
        <w:textAlignment w:val="auto"/>
        <w:rPr>
          <w:rFonts w:hint="eastAsia"/>
          <w:color w:val="auto"/>
          <w:sz w:val="24"/>
          <w:szCs w:val="24"/>
          <w:lang w:val="en-US" w:eastAsia="zh-CN"/>
        </w:rPr>
      </w:pPr>
      <w:r>
        <w:rPr>
          <w:rFonts w:hint="eastAsia" w:cs="宋体"/>
          <w:sz w:val="24"/>
          <w:szCs w:val="24"/>
          <w:lang w:val="en-US" w:eastAsia="zh-CN"/>
        </w:rPr>
        <w:t xml:space="preserve">1.1 </w:t>
      </w:r>
      <w:r>
        <w:rPr>
          <w:rFonts w:hint="eastAsia"/>
          <w:color w:val="auto"/>
          <w:sz w:val="24"/>
          <w:szCs w:val="24"/>
          <w:lang w:val="en-US" w:eastAsia="zh-CN"/>
        </w:rPr>
        <w:t>预付款:签订合同后支付合同总价的30%</w:t>
      </w:r>
    </w:p>
    <w:p>
      <w:pPr>
        <w:pStyle w:val="29"/>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690" w:leftChars="150" w:right="110" w:rightChars="50" w:hanging="360" w:hangingChars="150"/>
        <w:textAlignment w:val="auto"/>
        <w:rPr>
          <w:rFonts w:ascii="宋体" w:hAnsi="宋体" w:eastAsia="宋体" w:cs="宋体"/>
          <w:sz w:val="24"/>
          <w:szCs w:val="24"/>
        </w:rPr>
      </w:pPr>
      <w:r>
        <w:rPr>
          <w:rFonts w:hint="eastAsia"/>
          <w:color w:val="auto"/>
          <w:sz w:val="24"/>
          <w:szCs w:val="24"/>
          <w:lang w:val="en-US"/>
        </w:rPr>
        <w:t>1.2</w:t>
      </w:r>
      <w:r>
        <w:rPr>
          <w:rFonts w:hint="eastAsia"/>
          <w:color w:val="auto"/>
          <w:sz w:val="24"/>
          <w:szCs w:val="24"/>
          <w:lang w:val="en-US" w:eastAsia="zh-CN"/>
        </w:rPr>
        <w:t xml:space="preserve"> </w:t>
      </w:r>
      <w:r>
        <w:rPr>
          <w:rFonts w:hint="eastAsia"/>
          <w:color w:val="auto"/>
          <w:sz w:val="24"/>
          <w:szCs w:val="24"/>
          <w:lang w:val="en-US"/>
        </w:rPr>
        <w:t>结算款:工程完工验收合格后一次性支付到合同总价的100%。</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23"/>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五、</w:t>
      </w:r>
      <w:r>
        <w:rPr>
          <w:rFonts w:hint="eastAsia"/>
          <w:b/>
          <w:bCs/>
          <w:color w:val="auto"/>
          <w:sz w:val="24"/>
          <w:szCs w:val="24"/>
          <w:lang w:val="en-US" w:eastAsia="zh-CN"/>
        </w:rPr>
        <w:t>甲方职责和权利</w:t>
      </w:r>
    </w:p>
    <w:p>
      <w:pPr>
        <w:pStyle w:val="23"/>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1、</w:t>
      </w:r>
      <w:r>
        <w:rPr>
          <w:color w:val="auto"/>
          <w:sz w:val="24"/>
          <w:szCs w:val="24"/>
        </w:rPr>
        <w:t>按施工进度计划，协调各方及时为乙方提供施工场地</w:t>
      </w:r>
      <w:r>
        <w:rPr>
          <w:rFonts w:hint="eastAsia"/>
          <w:color w:val="auto"/>
          <w:sz w:val="24"/>
          <w:szCs w:val="24"/>
          <w:lang w:eastAsia="zh-CN"/>
        </w:rPr>
        <w:t>；</w:t>
      </w:r>
    </w:p>
    <w:p>
      <w:pPr>
        <w:pStyle w:val="23"/>
        <w:spacing w:before="0" w:beforeAutospacing="0" w:after="0" w:afterAutospacing="0" w:line="240" w:lineRule="auto"/>
        <w:ind w:left="878" w:leftChars="218" w:hanging="398" w:hangingChars="166"/>
        <w:jc w:val="both"/>
        <w:rPr>
          <w:rFonts w:hint="default"/>
          <w:color w:val="auto"/>
          <w:sz w:val="24"/>
          <w:szCs w:val="24"/>
          <w:lang w:val="en-US" w:eastAsia="zh-CN"/>
        </w:rPr>
      </w:pPr>
      <w:r>
        <w:rPr>
          <w:rFonts w:hint="eastAsia"/>
          <w:color w:val="auto"/>
          <w:sz w:val="24"/>
          <w:szCs w:val="24"/>
          <w:lang w:val="en-US" w:eastAsia="zh-CN"/>
        </w:rPr>
        <w:t>2、甲方</w:t>
      </w:r>
      <w:r>
        <w:rPr>
          <w:rFonts w:hint="eastAsia"/>
          <w:color w:val="auto"/>
          <w:sz w:val="24"/>
          <w:szCs w:val="24"/>
          <w:lang w:val="zh-TW" w:eastAsia="zh-CN"/>
        </w:rPr>
        <w:t>根据工程实施情况，有权对合同工程工期（包括关键节点工期和竣工日期）进行适当调整。</w:t>
      </w:r>
    </w:p>
    <w:p>
      <w:pPr>
        <w:pStyle w:val="23"/>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3、按合同约定</w:t>
      </w:r>
      <w:r>
        <w:rPr>
          <w:color w:val="auto"/>
          <w:sz w:val="24"/>
          <w:szCs w:val="24"/>
        </w:rPr>
        <w:t>支付工程款</w:t>
      </w:r>
      <w:r>
        <w:rPr>
          <w:rFonts w:hint="eastAsia"/>
          <w:color w:val="auto"/>
          <w:sz w:val="24"/>
          <w:szCs w:val="24"/>
          <w:lang w:eastAsia="zh-CN"/>
        </w:rPr>
        <w:t>；</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r>
        <w:rPr>
          <w:rFonts w:hint="eastAsia"/>
          <w:color w:val="auto"/>
          <w:sz w:val="24"/>
          <w:szCs w:val="24"/>
          <w:lang w:val="en-US" w:eastAsia="zh-CN"/>
        </w:rPr>
        <w:t>4、</w:t>
      </w:r>
      <w:r>
        <w:rPr>
          <w:rFonts w:hint="eastAsia" w:ascii="宋体" w:hAnsi="宋体" w:cs="宋体"/>
          <w:bCs/>
          <w:color w:val="auto"/>
          <w:sz w:val="24"/>
          <w:szCs w:val="24"/>
        </w:rPr>
        <w:t>监督</w:t>
      </w:r>
      <w:r>
        <w:rPr>
          <w:rFonts w:hint="eastAsia" w:ascii="宋体" w:hAnsi="宋体" w:cs="宋体"/>
          <w:bCs/>
          <w:color w:val="auto"/>
          <w:sz w:val="24"/>
          <w:szCs w:val="24"/>
          <w:lang w:val="en-US" w:eastAsia="zh-CN"/>
        </w:rPr>
        <w:t>管理施工过程中的工程质量、材料质量、</w:t>
      </w:r>
      <w:r>
        <w:rPr>
          <w:rFonts w:hint="eastAsia" w:ascii="宋体" w:hAnsi="宋体" w:cs="宋体"/>
          <w:bCs/>
          <w:color w:val="auto"/>
          <w:sz w:val="24"/>
          <w:szCs w:val="24"/>
        </w:rPr>
        <w:t>技术、进度和安全</w:t>
      </w:r>
      <w:r>
        <w:rPr>
          <w:rFonts w:hint="eastAsia" w:ascii="宋体" w:hAnsi="宋体" w:cs="宋体"/>
          <w:bCs/>
          <w:color w:val="auto"/>
          <w:sz w:val="24"/>
          <w:szCs w:val="24"/>
          <w:lang w:eastAsia="zh-CN"/>
        </w:rPr>
        <w:t>；</w:t>
      </w:r>
    </w:p>
    <w:p>
      <w:pPr>
        <w:pStyle w:val="23"/>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5、负责工程协调、管理及组织工程验收.</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六、乙方</w:t>
      </w:r>
      <w:r>
        <w:rPr>
          <w:rFonts w:hint="eastAsia"/>
          <w:b/>
          <w:bCs/>
          <w:color w:val="auto"/>
          <w:sz w:val="24"/>
          <w:szCs w:val="24"/>
          <w:lang w:val="en-US" w:eastAsia="zh-CN"/>
        </w:rPr>
        <w:t>职责</w:t>
      </w:r>
    </w:p>
    <w:p>
      <w:pPr>
        <w:pStyle w:val="10"/>
        <w:numPr>
          <w:ilvl w:val="0"/>
          <w:numId w:val="0"/>
        </w:numPr>
        <w:spacing w:before="52" w:line="360" w:lineRule="auto"/>
        <w:ind w:leftChars="100" w:firstLine="240" w:firstLineChars="1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1、质量要求</w:t>
      </w:r>
    </w:p>
    <w:p>
      <w:pPr>
        <w:pStyle w:val="10"/>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10"/>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10"/>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10"/>
        <w:numPr>
          <w:ilvl w:val="0"/>
          <w:numId w:val="45"/>
        </w:numPr>
        <w:spacing w:before="52" w:line="360" w:lineRule="auto"/>
        <w:ind w:left="845" w:leftChars="0" w:right="0" w:rightChars="0" w:hanging="425" w:firstLineChars="0"/>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0"/>
        <w:numPr>
          <w:ilvl w:val="0"/>
          <w:numId w:val="0"/>
        </w:numPr>
        <w:spacing w:before="52" w:line="360" w:lineRule="auto"/>
        <w:ind w:leftChars="100" w:right="0" w:rightChars="0"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实施条件及管理要求</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cs="宋体"/>
          <w:spacing w:val="0"/>
          <w:kern w:val="0"/>
          <w:sz w:val="24"/>
          <w:szCs w:val="24"/>
          <w:lang w:val="en-US" w:eastAsia="zh-CN" w:bidi="zh-CN"/>
        </w:rPr>
        <w:t>在施工期间，成交人应随时保持现场整洁，施工设备和材料、工程设备应整齐妥善存放和储存，废料与垃圾及不再需要的临时设施应及时从现场清除、拆除并运走。</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对于公路施工中粉尘污染的主要污染源――灰土拌和、施工车辆和筑路机械运行及运输产生的扬尘，应采取有效措施减轻其对施工现场的大气污染，保护人民健康</w:t>
      </w:r>
      <w:r>
        <w:rPr>
          <w:rFonts w:hint="eastAsia" w:cs="宋体"/>
          <w:spacing w:val="0"/>
          <w:kern w:val="0"/>
          <w:sz w:val="24"/>
          <w:szCs w:val="24"/>
          <w:lang w:val="en-US" w:eastAsia="zh-CN" w:bidi="zh-CN"/>
        </w:rPr>
        <w:t>；</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330" w:leftChars="0" w:right="110" w:rightChars="50" w:firstLine="549" w:firstLineChars="229"/>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如：a.拌和设备应有较好的密封，或有防尘设备。</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auto"/>
        <w:ind w:left="330" w:leftChars="0" w:right="110" w:rightChars="50" w:firstLine="768" w:firstLineChars="32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b.施工通道、沥青混凝土拌和站及灰土拌和站应经常进行洒水降尘。</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0" w:leftChars="0" w:right="110" w:rightChars="50" w:firstLine="679" w:firstLineChars="283"/>
        <w:jc w:val="both"/>
        <w:textAlignment w:val="auto"/>
        <w:rPr>
          <w:rFonts w:hint="eastAsia" w:ascii="宋体" w:hAnsi="宋体" w:eastAsia="宋体" w:cs="宋体"/>
          <w:spacing w:val="0"/>
          <w:kern w:val="0"/>
          <w:sz w:val="24"/>
          <w:szCs w:val="24"/>
          <w:lang w:val="en-US" w:eastAsia="zh-CN" w:bidi="zh-CN"/>
        </w:rPr>
      </w:pPr>
      <w:r>
        <w:rPr>
          <w:rFonts w:hint="eastAsia" w:cs="宋体"/>
          <w:spacing w:val="0"/>
          <w:kern w:val="0"/>
          <w:sz w:val="24"/>
          <w:szCs w:val="24"/>
          <w:lang w:val="en-US" w:eastAsia="zh-CN" w:bidi="zh-CN"/>
        </w:rPr>
        <w:t>C.</w:t>
      </w:r>
      <w:r>
        <w:rPr>
          <w:rFonts w:hint="eastAsia" w:ascii="宋体" w:hAnsi="宋体" w:eastAsia="宋体" w:cs="宋体"/>
          <w:spacing w:val="0"/>
          <w:kern w:val="0"/>
          <w:sz w:val="24"/>
          <w:szCs w:val="24"/>
          <w:lang w:val="en-US" w:eastAsia="zh-CN" w:bidi="zh-CN"/>
        </w:rPr>
        <w:t>路面施工应注意保持水分，以免扬尘。</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color w:val="auto"/>
          <w:sz w:val="24"/>
          <w:szCs w:val="24"/>
          <w:u w:val="none"/>
          <w:lang w:val="en-US" w:eastAsia="zh-CN" w:bidi="ar-SA"/>
        </w:rPr>
      </w:pPr>
      <w:r>
        <w:rPr>
          <w:rFonts w:hint="eastAsia" w:ascii="宋体" w:hAnsi="宋体" w:eastAsia="宋体" w:cs="宋体"/>
          <w:b w:val="0"/>
          <w:bCs w:val="0"/>
          <w:color w:val="auto"/>
          <w:sz w:val="24"/>
          <w:szCs w:val="24"/>
          <w:u w:val="none"/>
          <w:lang w:val="en-US" w:eastAsia="zh-CN" w:bidi="ar-SA"/>
        </w:rPr>
        <w:t>安全文明施工措施</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p>
    <w:p>
      <w:pPr>
        <w:pStyle w:val="23"/>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保修期及保修期服务要求</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1年</w:t>
      </w:r>
      <w:r>
        <w:rPr>
          <w:rFonts w:hint="eastAsia" w:ascii="宋体" w:hAnsi="宋体" w:eastAsia="宋体" w:cs="宋体"/>
          <w:spacing w:val="0"/>
          <w:kern w:val="0"/>
          <w:sz w:val="24"/>
          <w:szCs w:val="24"/>
          <w:lang w:val="en-US" w:eastAsia="zh-CN" w:bidi="zh-CN"/>
        </w:rPr>
        <w:t>；</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内，承包人应当根据有关法律以及合同规定，在约定的保修范围、</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限内承担保修责任。保修的费用由造成质量缺陷的责任方承担。</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pStyle w:val="23"/>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售后服务及其他</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供应商须对项目实施提供必要的技术支持和服务保证；</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最终成果要求：成交人提交的项目成果质量必须符合项目要求且通过采购人的验收；</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en-US" w:eastAsia="zh-CN" w:bidi="zh-CN"/>
        </w:rPr>
      </w:pPr>
      <w:r>
        <w:rPr>
          <w:rFonts w:hint="eastAsia" w:asciiTheme="minorEastAsia" w:hAnsiTheme="minorEastAsia" w:eastAsiaTheme="minorEastAsia" w:cstheme="minorEastAsia"/>
          <w:spacing w:val="0"/>
          <w:sz w:val="24"/>
          <w:szCs w:val="24"/>
          <w:lang w:val="zh-CN" w:eastAsia="zh-CN" w:bidi="zh-CN"/>
        </w:rPr>
        <w:t>因成交人原因致使工程在国家规定的工程合理使用期限内造成人身和财产损害的，成交人应承担赔偿责任</w:t>
      </w:r>
      <w:r>
        <w:rPr>
          <w:rFonts w:hint="eastAsia" w:asciiTheme="minorEastAsia" w:hAnsiTheme="minorEastAsia" w:eastAsiaTheme="minorEastAsia" w:cstheme="minorEastAsia"/>
          <w:spacing w:val="0"/>
          <w:sz w:val="24"/>
          <w:szCs w:val="24"/>
          <w:lang w:val="en-US" w:eastAsia="zh-CN" w:bidi="zh-CN"/>
        </w:rPr>
        <w:t>。</w:t>
      </w:r>
    </w:p>
    <w:p>
      <w:pPr>
        <w:pStyle w:val="23"/>
        <w:spacing w:before="0" w:beforeAutospacing="0" w:after="0" w:afterAutospacing="0" w:line="360" w:lineRule="auto"/>
        <w:jc w:val="both"/>
        <w:rPr>
          <w:b/>
          <w:bCs/>
          <w:color w:val="auto"/>
          <w:sz w:val="24"/>
          <w:szCs w:val="24"/>
        </w:rPr>
      </w:pP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组织</w:t>
      </w:r>
      <w:r>
        <w:rPr>
          <w:b/>
          <w:bCs/>
          <w:color w:val="auto"/>
          <w:sz w:val="24"/>
          <w:szCs w:val="24"/>
        </w:rPr>
        <w:t>验收</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spacing w:val="0"/>
          <w:sz w:val="24"/>
          <w:szCs w:val="24"/>
          <w:lang w:val="en-US" w:eastAsia="zh-CN" w:bidi="zh-CN"/>
        </w:rPr>
        <w:t>成交人若违反相关规定，发生重大生产安全事故的，采购人有权单方面终止合同。</w:t>
      </w:r>
    </w:p>
    <w:p>
      <w:pPr>
        <w:pStyle w:val="23"/>
        <w:spacing w:before="0" w:beforeAutospacing="0" w:after="0" w:afterAutospacing="0" w:line="360" w:lineRule="auto"/>
        <w:jc w:val="both"/>
        <w:rPr>
          <w:b/>
          <w:bCs/>
          <w:color w:val="auto"/>
          <w:sz w:val="24"/>
          <w:szCs w:val="24"/>
        </w:rPr>
      </w:pPr>
      <w:r>
        <w:rPr>
          <w:rFonts w:hint="eastAsia"/>
          <w:b/>
          <w:bCs/>
          <w:color w:val="auto"/>
          <w:sz w:val="24"/>
          <w:szCs w:val="24"/>
          <w:lang w:val="en-US" w:eastAsia="zh-CN"/>
        </w:rPr>
        <w:t>八</w:t>
      </w:r>
      <w:r>
        <w:rPr>
          <w:b/>
          <w:bCs/>
          <w:color w:val="auto"/>
          <w:sz w:val="24"/>
          <w:szCs w:val="24"/>
        </w:rPr>
        <w:t>、违约责任及风险说明</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1、合同双方之任何一方不能全面履行合同条款，均属违约，违约所造成的经济损失，概由违约方承担赔偿。</w:t>
      </w:r>
    </w:p>
    <w:p>
      <w:pPr>
        <w:pStyle w:val="23"/>
        <w:spacing w:before="0" w:beforeAutospacing="0" w:after="0" w:afterAutospacing="0" w:line="360" w:lineRule="auto"/>
        <w:ind w:firstLine="480" w:firstLineChars="200"/>
        <w:jc w:val="both"/>
        <w:rPr>
          <w:color w:val="auto"/>
          <w:kern w:val="2"/>
          <w:sz w:val="24"/>
          <w:szCs w:val="24"/>
        </w:rPr>
      </w:pPr>
      <w:r>
        <w:rPr>
          <w:color w:val="auto"/>
          <w:sz w:val="24"/>
          <w:szCs w:val="24"/>
        </w:rPr>
        <w:t>2、因非甲方原因、人力不可抗拒的原因，乙方未按期完成工程内容，每逾期一日，乙方应向甲方支付本工程总金额</w:t>
      </w:r>
      <w:r>
        <w:rPr>
          <w:rFonts w:hint="eastAsia"/>
          <w:color w:val="auto"/>
          <w:sz w:val="24"/>
          <w:szCs w:val="24"/>
          <w:lang w:val="en-US" w:eastAsia="zh-CN"/>
        </w:rPr>
        <w:t>千</w:t>
      </w:r>
      <w:r>
        <w:rPr>
          <w:color w:val="auto"/>
          <w:sz w:val="24"/>
          <w:szCs w:val="24"/>
        </w:rPr>
        <w:t>分之一的违约金；逾期超过十五天，甲方有权单方面解除合同。</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sz w:val="24"/>
          <w:szCs w:val="24"/>
          <w:lang w:val="en-US" w:eastAsia="zh-CN"/>
        </w:rPr>
        <w:t>3</w:t>
      </w:r>
      <w:r>
        <w:rPr>
          <w:color w:val="auto"/>
          <w:sz w:val="24"/>
          <w:szCs w:val="24"/>
        </w:rPr>
        <w:t>、甲方应按本合同约定及时支付工程款，若有逾期，甲方应向乙方支付违约金（按应付金额的银行同期贷款利率计算支付利息）。</w:t>
      </w:r>
    </w:p>
    <w:p>
      <w:pPr>
        <w:pStyle w:val="23"/>
        <w:spacing w:before="0" w:beforeAutospacing="0" w:after="0" w:afterAutospacing="0" w:line="360" w:lineRule="auto"/>
        <w:ind w:firstLine="480" w:firstLineChars="200"/>
        <w:jc w:val="both"/>
        <w:rPr>
          <w:rFonts w:hint="eastAsia"/>
          <w:color w:val="auto"/>
          <w:kern w:val="2"/>
          <w:sz w:val="24"/>
          <w:szCs w:val="24"/>
          <w:highlight w:val="none"/>
        </w:rPr>
      </w:pPr>
      <w:r>
        <w:rPr>
          <w:rFonts w:hint="eastAsia"/>
          <w:color w:val="auto"/>
          <w:kern w:val="2"/>
          <w:sz w:val="24"/>
          <w:szCs w:val="24"/>
        </w:rPr>
        <w:t>4、甲方无正当理由终止或解除合同，乙方未开始施工的，乙方有权要求甲方赔偿合同总价5%作为违约金；</w:t>
      </w:r>
      <w:r>
        <w:rPr>
          <w:rFonts w:hint="eastAsia"/>
          <w:color w:val="auto"/>
          <w:kern w:val="2"/>
          <w:sz w:val="24"/>
          <w:szCs w:val="24"/>
          <w:highlight w:val="none"/>
        </w:rPr>
        <w:t>乙方已开始施工的，</w:t>
      </w:r>
      <w:r>
        <w:rPr>
          <w:rFonts w:hint="eastAsia"/>
          <w:color w:val="auto"/>
          <w:kern w:val="2"/>
          <w:sz w:val="24"/>
          <w:szCs w:val="24"/>
          <w:highlight w:val="none"/>
          <w:lang w:val="en-US" w:eastAsia="zh-CN"/>
        </w:rPr>
        <w:t>甲方</w:t>
      </w:r>
      <w:r>
        <w:rPr>
          <w:rFonts w:hint="eastAsia"/>
          <w:color w:val="auto"/>
          <w:kern w:val="2"/>
          <w:sz w:val="24"/>
          <w:szCs w:val="24"/>
          <w:highlight w:val="none"/>
        </w:rPr>
        <w:t>赔偿乙方因此造成的实际经济损失。</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、乙方无正当理由终止或解除合同，甲方有权要求乙方赔偿合同总价5%作为违约金；</w:t>
      </w:r>
    </w:p>
    <w:p>
      <w:pPr>
        <w:pStyle w:val="23"/>
        <w:spacing w:before="0" w:beforeAutospacing="0" w:after="0" w:afterAutospacing="0" w:line="360" w:lineRule="auto"/>
        <w:ind w:firstLine="480" w:firstLineChars="200"/>
        <w:jc w:val="both"/>
        <w:rPr>
          <w:rFonts w:hint="eastAsia"/>
          <w:b/>
          <w:bCs/>
          <w:color w:val="auto"/>
          <w:kern w:val="2"/>
          <w:sz w:val="24"/>
          <w:szCs w:val="24"/>
          <w:lang w:val="en-US" w:eastAsia="zh-CN"/>
        </w:rPr>
      </w:pPr>
      <w:r>
        <w:rPr>
          <w:rFonts w:hint="eastAsia"/>
          <w:color w:val="auto"/>
          <w:kern w:val="2"/>
          <w:sz w:val="24"/>
          <w:szCs w:val="24"/>
          <w:lang w:val="en-US" w:eastAsia="zh-CN"/>
        </w:rPr>
        <w:t>6</w:t>
      </w:r>
      <w:r>
        <w:rPr>
          <w:rFonts w:hint="eastAsia"/>
          <w:color w:val="auto"/>
          <w:kern w:val="2"/>
          <w:sz w:val="24"/>
          <w:szCs w:val="24"/>
        </w:rPr>
        <w:t>、其它违约责任按《中华人民共和国民法典》处理。</w:t>
      </w:r>
    </w:p>
    <w:p>
      <w:pPr>
        <w:pStyle w:val="23"/>
        <w:spacing w:before="0" w:beforeAutospacing="0" w:after="0" w:afterAutospacing="0" w:line="360" w:lineRule="auto"/>
        <w:jc w:val="both"/>
        <w:rPr>
          <w:rFonts w:hint="eastAsia"/>
          <w:b/>
          <w:bCs/>
          <w:color w:val="auto"/>
          <w:kern w:val="2"/>
          <w:sz w:val="24"/>
          <w:szCs w:val="24"/>
        </w:rPr>
      </w:pPr>
      <w:r>
        <w:rPr>
          <w:rFonts w:hint="eastAsia"/>
          <w:b/>
          <w:bCs/>
          <w:color w:val="auto"/>
          <w:kern w:val="2"/>
          <w:sz w:val="24"/>
          <w:szCs w:val="24"/>
          <w:lang w:val="en-US" w:eastAsia="zh-CN"/>
        </w:rPr>
        <w:t>九、</w:t>
      </w:r>
      <w:r>
        <w:rPr>
          <w:rFonts w:hint="eastAsia"/>
          <w:b/>
          <w:bCs/>
          <w:color w:val="auto"/>
          <w:kern w:val="2"/>
          <w:sz w:val="24"/>
          <w:szCs w:val="24"/>
        </w:rPr>
        <w:t>合同文件组成及优先顺序为：</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①</w:t>
      </w:r>
      <w:r>
        <w:rPr>
          <w:rFonts w:hint="eastAsia"/>
          <w:color w:val="auto"/>
          <w:kern w:val="2"/>
          <w:sz w:val="24"/>
          <w:szCs w:val="24"/>
          <w:lang w:val="en-US" w:eastAsia="zh-CN"/>
        </w:rPr>
        <w:t>施工</w:t>
      </w:r>
      <w:r>
        <w:rPr>
          <w:rFonts w:hint="eastAsia"/>
          <w:color w:val="auto"/>
          <w:kern w:val="2"/>
          <w:sz w:val="24"/>
          <w:szCs w:val="24"/>
        </w:rPr>
        <w:t>合同书；②履行本合同的相关补充协议（含工程洽商</w:t>
      </w:r>
      <w:r>
        <w:rPr>
          <w:rFonts w:hint="eastAsia"/>
          <w:color w:val="auto"/>
          <w:kern w:val="2"/>
          <w:sz w:val="24"/>
          <w:szCs w:val="24"/>
          <w:lang w:eastAsia="zh-CN"/>
        </w:rPr>
        <w:t>双方签名确认的会议记</w:t>
      </w:r>
      <w:r>
        <w:rPr>
          <w:rFonts w:hint="eastAsia"/>
          <w:color w:val="auto"/>
          <w:kern w:val="2"/>
          <w:sz w:val="24"/>
          <w:szCs w:val="24"/>
        </w:rPr>
        <w:t>录、会议纪要、</w:t>
      </w:r>
      <w:r>
        <w:rPr>
          <w:rFonts w:hint="eastAsia"/>
          <w:color w:val="auto"/>
          <w:kern w:val="2"/>
          <w:sz w:val="24"/>
          <w:szCs w:val="24"/>
          <w:lang w:eastAsia="zh-CN"/>
        </w:rPr>
        <w:t>确认书、</w:t>
      </w:r>
      <w:r>
        <w:rPr>
          <w:rFonts w:hint="eastAsia"/>
          <w:color w:val="auto"/>
          <w:kern w:val="2"/>
          <w:sz w:val="24"/>
          <w:szCs w:val="24"/>
        </w:rPr>
        <w:t>工程变更、现场签证、索赔和合同价款调整报告等修正文件）；③中标通知书；④投标文件及其附录；⑤专用合同条款及其附件；⑥通用合同条款；⑦技术标准和要求；⑧图纸；⑨已标价的工程量清单或预算书</w:t>
      </w:r>
      <w:r>
        <w:rPr>
          <w:rFonts w:hint="eastAsia"/>
          <w:color w:val="auto"/>
          <w:kern w:val="2"/>
          <w:sz w:val="24"/>
          <w:szCs w:val="24"/>
          <w:lang w:eastAsia="zh-CN"/>
        </w:rPr>
        <w:t>或对帐单</w:t>
      </w:r>
      <w:r>
        <w:rPr>
          <w:rFonts w:hint="eastAsia"/>
          <w:color w:val="auto"/>
          <w:kern w:val="2"/>
          <w:sz w:val="24"/>
          <w:szCs w:val="24"/>
        </w:rPr>
        <w:t>；⑩其他合同文件。</w:t>
      </w:r>
    </w:p>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十</w:t>
      </w:r>
      <w:r>
        <w:rPr>
          <w:rFonts w:hint="eastAsia" w:cs="宋体" w:asciiTheme="minorEastAsia" w:hAnsiTheme="minorEastAsia" w:eastAsiaTheme="minorEastAsia"/>
          <w:b/>
          <w:color w:val="auto"/>
          <w:sz w:val="24"/>
          <w:szCs w:val="24"/>
        </w:rPr>
        <w:t>、不可抗力</w:t>
      </w:r>
    </w:p>
    <w:p>
      <w:pPr>
        <w:spacing w:line="360" w:lineRule="auto"/>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80" w:firstLineChars="200"/>
        <w:rPr>
          <w:rFonts w:ascii="宋体" w:hAnsi="宋体" w:cs="宋体"/>
          <w:b/>
          <w:bCs/>
          <w:color w:val="auto"/>
          <w:kern w:val="0"/>
          <w:sz w:val="24"/>
          <w:szCs w:val="24"/>
        </w:rPr>
      </w:pPr>
      <w:r>
        <w:rPr>
          <w:rFonts w:hint="eastAsia" w:cs="宋体" w:asciiTheme="minorEastAsia" w:hAnsiTheme="minorEastAsia" w:eastAsiaTheme="minorEastAsia"/>
          <w:color w:val="auto"/>
          <w:sz w:val="24"/>
          <w:szCs w:val="24"/>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4"/>
          <w:szCs w:val="24"/>
        </w:rPr>
      </w:pPr>
      <w:r>
        <w:rPr>
          <w:rFonts w:ascii="宋体" w:hAnsi="宋体" w:cs="宋体"/>
          <w:b/>
          <w:bCs/>
          <w:color w:val="auto"/>
          <w:kern w:val="0"/>
          <w:sz w:val="24"/>
          <w:szCs w:val="24"/>
        </w:rPr>
        <w:t>十</w:t>
      </w:r>
      <w:r>
        <w:rPr>
          <w:rFonts w:hint="eastAsia" w:ascii="宋体" w:hAnsi="宋体" w:cs="宋体"/>
          <w:b/>
          <w:bCs/>
          <w:color w:val="auto"/>
          <w:kern w:val="0"/>
          <w:sz w:val="24"/>
          <w:szCs w:val="24"/>
          <w:lang w:val="en-US" w:eastAsia="zh-CN"/>
        </w:rPr>
        <w:t>一</w:t>
      </w:r>
      <w:r>
        <w:rPr>
          <w:rFonts w:ascii="宋体" w:hAnsi="宋体" w:cs="宋体"/>
          <w:b/>
          <w:bCs/>
          <w:color w:val="auto"/>
          <w:kern w:val="0"/>
          <w:sz w:val="24"/>
          <w:szCs w:val="24"/>
        </w:rPr>
        <w:t>、争议的解决</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合同执行过程中发生的任何争议，如双方不能通过友好协商解决，</w:t>
      </w:r>
      <w:r>
        <w:rPr>
          <w:rFonts w:hint="eastAsia" w:cs="宋体" w:asciiTheme="minorEastAsia" w:hAnsiTheme="minorEastAsia" w:eastAsiaTheme="minorEastAsia"/>
          <w:bCs/>
          <w:color w:val="auto"/>
          <w:sz w:val="24"/>
          <w:szCs w:val="24"/>
        </w:rPr>
        <w:t>可向</w:t>
      </w:r>
      <w:r>
        <w:rPr>
          <w:rFonts w:hint="eastAsia" w:cs="宋体" w:asciiTheme="minorEastAsia" w:hAnsiTheme="minorEastAsia" w:eastAsiaTheme="minorEastAsia"/>
          <w:bCs/>
          <w:color w:val="auto"/>
          <w:sz w:val="24"/>
          <w:szCs w:val="24"/>
          <w:lang w:val="en-US" w:eastAsia="zh-CN"/>
        </w:rPr>
        <w:t>项目所在地的</w:t>
      </w:r>
      <w:r>
        <w:rPr>
          <w:rFonts w:hint="eastAsia" w:cs="宋体" w:asciiTheme="minorEastAsia" w:hAnsiTheme="minorEastAsia" w:eastAsiaTheme="minorEastAsia"/>
          <w:bCs/>
          <w:color w:val="auto"/>
          <w:sz w:val="24"/>
          <w:szCs w:val="24"/>
        </w:rPr>
        <w:t>人民法院诉讼解决。</w:t>
      </w:r>
    </w:p>
    <w:p>
      <w:pPr>
        <w:numPr>
          <w:ilvl w:val="0"/>
          <w:numId w:val="0"/>
        </w:numPr>
        <w:spacing w:line="360" w:lineRule="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十二、</w:t>
      </w:r>
      <w:r>
        <w:rPr>
          <w:rFonts w:ascii="宋体" w:hAnsi="宋体" w:cs="宋体"/>
          <w:b/>
          <w:bCs/>
          <w:color w:val="auto"/>
          <w:kern w:val="0"/>
          <w:sz w:val="24"/>
          <w:szCs w:val="24"/>
        </w:rPr>
        <w:t>其它</w:t>
      </w:r>
    </w:p>
    <w:p>
      <w:pPr>
        <w:tabs>
          <w:tab w:val="left" w:pos="364"/>
          <w:tab w:val="left" w:pos="540"/>
        </w:tabs>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80" w:firstLineChars="200"/>
        <w:jc w:val="both"/>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ascii="宋体" w:hAnsi="宋体" w:cs="宋体"/>
          <w:color w:val="auto"/>
          <w:kern w:val="0"/>
          <w:sz w:val="24"/>
          <w:szCs w:val="24"/>
        </w:rPr>
        <w:t>、本合同所有附件、招标文件、响应文件、成交通知书均为合同的有效组成部分，与本合同具有同等法律效力。</w:t>
      </w:r>
    </w:p>
    <w:p>
      <w:pPr>
        <w:spacing w:line="360" w:lineRule="auto"/>
        <w:ind w:firstLine="480" w:firstLineChars="200"/>
        <w:jc w:val="both"/>
        <w:rPr>
          <w:color w:val="auto"/>
          <w:sz w:val="24"/>
          <w:szCs w:val="24"/>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、在执行本合同的过程中，所有经双方签署确认的文件（包括会议纪要、补充协议、往来信函）即成为本合同的有效组成部分。</w:t>
      </w:r>
    </w:p>
    <w:p>
      <w:pPr>
        <w:pStyle w:val="23"/>
        <w:spacing w:before="0" w:beforeAutospacing="0" w:after="0" w:afterAutospacing="0" w:line="360" w:lineRule="auto"/>
        <w:jc w:val="both"/>
        <w:rPr>
          <w:b/>
          <w:bCs/>
          <w:color w:val="auto"/>
          <w:sz w:val="22"/>
          <w:szCs w:val="22"/>
        </w:rPr>
      </w:pPr>
    </w:p>
    <w:p>
      <w:pPr>
        <w:rPr>
          <w:b/>
          <w:bCs/>
          <w:color w:val="auto"/>
          <w:sz w:val="22"/>
          <w:szCs w:val="22"/>
        </w:rPr>
      </w:pPr>
      <w:r>
        <w:rPr>
          <w:b/>
          <w:bCs/>
          <w:color w:val="auto"/>
          <w:sz w:val="22"/>
          <w:szCs w:val="22"/>
        </w:rPr>
        <w:br w:type="page"/>
      </w:r>
    </w:p>
    <w:p>
      <w:pPr>
        <w:pStyle w:val="23"/>
        <w:spacing w:before="0" w:beforeAutospacing="0" w:after="0" w:afterAutospacing="0" w:line="360" w:lineRule="auto"/>
        <w:jc w:val="both"/>
        <w:rPr>
          <w:b/>
          <w:bCs/>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rFonts w:hint="eastAsia" w:ascii="宋体" w:hAnsi="宋体" w:cs="宋体"/>
          <w:b/>
          <w:color w:val="auto"/>
          <w:sz w:val="24"/>
          <w:szCs w:val="24"/>
        </w:rPr>
        <w:t>合同签署</w:t>
      </w:r>
    </w:p>
    <w:p>
      <w:pPr>
        <w:tabs>
          <w:tab w:val="left" w:pos="360"/>
          <w:tab w:val="left" w:pos="420"/>
        </w:tabs>
        <w:spacing w:line="360" w:lineRule="auto"/>
        <w:ind w:firstLine="480" w:firstLineChars="200"/>
        <w:jc w:val="both"/>
        <w:rPr>
          <w:color w:val="auto"/>
          <w:sz w:val="24"/>
          <w:szCs w:val="24"/>
        </w:rPr>
      </w:pPr>
      <w:r>
        <w:rPr>
          <w:rFonts w:ascii="宋体" w:hAnsi="宋体" w:cs="宋体"/>
          <w:color w:val="auto"/>
          <w:kern w:val="0"/>
          <w:sz w:val="24"/>
          <w:szCs w:val="24"/>
        </w:rPr>
        <w:t>1、本</w:t>
      </w:r>
      <w:r>
        <w:rPr>
          <w:color w:val="auto"/>
          <w:sz w:val="24"/>
          <w:szCs w:val="24"/>
        </w:rPr>
        <w:t>合同自双方签字、盖章后，于</w:t>
      </w:r>
      <w:r>
        <w:rPr>
          <w:color w:val="auto"/>
          <w:sz w:val="24"/>
          <w:szCs w:val="24"/>
          <w:u w:val="single"/>
        </w:rPr>
        <w:t>当日</w:t>
      </w:r>
      <w:r>
        <w:rPr>
          <w:color w:val="auto"/>
          <w:sz w:val="24"/>
          <w:szCs w:val="24"/>
        </w:rPr>
        <w:t>生效。</w:t>
      </w:r>
    </w:p>
    <w:p>
      <w:pPr>
        <w:tabs>
          <w:tab w:val="left" w:pos="360"/>
          <w:tab w:val="left" w:pos="420"/>
        </w:tabs>
        <w:spacing w:line="360" w:lineRule="auto"/>
        <w:ind w:firstLine="480" w:firstLineChars="200"/>
        <w:jc w:val="both"/>
        <w:rPr>
          <w:color w:val="auto"/>
          <w:sz w:val="24"/>
          <w:szCs w:val="24"/>
        </w:rPr>
      </w:pPr>
      <w:r>
        <w:rPr>
          <w:rFonts w:hint="eastAsia"/>
          <w:color w:val="auto"/>
          <w:sz w:val="24"/>
          <w:szCs w:val="24"/>
          <w:lang w:val="en-US" w:eastAsia="zh-CN"/>
        </w:rPr>
        <w:t>2、</w:t>
      </w:r>
      <w:r>
        <w:rPr>
          <w:rFonts w:ascii="宋体" w:hAnsi="宋体" w:cs="宋体"/>
          <w:color w:val="auto"/>
          <w:kern w:val="0"/>
          <w:sz w:val="24"/>
          <w:szCs w:val="24"/>
        </w:rPr>
        <w:t>合同一式</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四</w:t>
      </w:r>
      <w:r>
        <w:rPr>
          <w:rFonts w:ascii="宋体" w:hAnsi="宋体" w:cs="宋体"/>
          <w:color w:val="auto"/>
          <w:kern w:val="0"/>
          <w:sz w:val="24"/>
          <w:szCs w:val="24"/>
          <w:u w:val="single"/>
        </w:rPr>
        <w:t xml:space="preserve"> </w:t>
      </w:r>
      <w:r>
        <w:rPr>
          <w:rFonts w:ascii="宋体" w:hAnsi="宋体" w:cs="宋体"/>
          <w:color w:val="auto"/>
          <w:kern w:val="0"/>
          <w:sz w:val="24"/>
          <w:szCs w:val="24"/>
        </w:rPr>
        <w:t>份，</w:t>
      </w:r>
      <w:r>
        <w:rPr>
          <w:rFonts w:hint="eastAsia" w:ascii="宋体" w:hAnsi="宋体" w:cs="宋体"/>
          <w:color w:val="auto"/>
          <w:kern w:val="0"/>
          <w:sz w:val="24"/>
          <w:szCs w:val="24"/>
        </w:rPr>
        <w:t>均具有同等法律效力，</w:t>
      </w:r>
      <w:r>
        <w:rPr>
          <w:rFonts w:ascii="宋体" w:hAnsi="宋体" w:cs="宋体"/>
          <w:color w:val="auto"/>
          <w:kern w:val="0"/>
          <w:sz w:val="24"/>
          <w:szCs w:val="24"/>
        </w:rPr>
        <w:t>甲方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二</w:t>
      </w:r>
      <w:r>
        <w:rPr>
          <w:rFonts w:ascii="宋体" w:hAnsi="宋体" w:cs="宋体"/>
          <w:color w:val="auto"/>
          <w:kern w:val="0"/>
          <w:sz w:val="24"/>
          <w:szCs w:val="24"/>
          <w:u w:val="single"/>
        </w:rPr>
        <w:t xml:space="preserve"> </w:t>
      </w:r>
      <w:r>
        <w:rPr>
          <w:rFonts w:ascii="宋体" w:hAnsi="宋体" w:cs="宋体"/>
          <w:color w:val="auto"/>
          <w:kern w:val="0"/>
          <w:sz w:val="24"/>
          <w:szCs w:val="24"/>
        </w:rPr>
        <w:t>份，乙方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份，采购代理机构</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eastAsia="zh-CN"/>
        </w:rPr>
      </w:pPr>
      <w:r>
        <w:rPr>
          <w:rFonts w:hint="eastAsia"/>
          <w:color w:val="auto"/>
          <w:sz w:val="24"/>
          <w:szCs w:val="24"/>
          <w:lang w:val="en-US" w:eastAsia="zh-CN"/>
        </w:rPr>
        <w:t>3、</w:t>
      </w:r>
      <w:r>
        <w:rPr>
          <w:rFonts w:hint="eastAsia" w:ascii="宋体" w:hAnsi="宋体" w:cs="宋体"/>
          <w:bCs/>
          <w:color w:val="auto"/>
          <w:sz w:val="24"/>
          <w:szCs w:val="24"/>
          <w:lang w:eastAsia="zh-CN"/>
        </w:rPr>
        <w:t>甲乙双方履行合同全部义务，</w:t>
      </w:r>
      <w:r>
        <w:rPr>
          <w:rFonts w:hint="eastAsia" w:ascii="宋体" w:hAnsi="宋体" w:cs="宋体"/>
          <w:bCs/>
          <w:color w:val="auto"/>
          <w:sz w:val="24"/>
          <w:szCs w:val="24"/>
          <w:lang w:val="en-US" w:eastAsia="zh-CN"/>
        </w:rPr>
        <w:t>合同价款</w:t>
      </w:r>
      <w:r>
        <w:rPr>
          <w:rFonts w:hint="eastAsia" w:ascii="宋体" w:hAnsi="宋体" w:cs="宋体"/>
          <w:bCs/>
          <w:color w:val="auto"/>
          <w:sz w:val="24"/>
          <w:szCs w:val="24"/>
          <w:lang w:eastAsia="zh-CN"/>
        </w:rPr>
        <w:t>支付完毕后，本合同即告终止。</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甲方（公章） ：</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eastAsia" w:eastAsia="宋体"/>
          <w:color w:val="auto"/>
          <w:sz w:val="24"/>
          <w:szCs w:val="24"/>
          <w:lang w:val="en-US" w:eastAsia="zh-CN"/>
        </w:rPr>
        <w:t xml:space="preserve"> </w:t>
      </w:r>
      <w:r>
        <w:rPr>
          <w:rFonts w:hint="default" w:eastAsia="宋体"/>
          <w:color w:val="auto"/>
          <w:sz w:val="24"/>
          <w:szCs w:val="24"/>
          <w:lang w:val="en-US" w:eastAsia="zh-CN"/>
        </w:rPr>
        <w:t>乙方（公章）：</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法定代表人或其委托代理人：</w:t>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法定代表人或其委托代理人：</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（签字）</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（签字）</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组织机构代码：</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组织机构代码：</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开户名称：</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开户银行：</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账    号：</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eastAsia" w:eastAsia="宋体"/>
          <w:color w:val="auto"/>
          <w:sz w:val="24"/>
          <w:szCs w:val="24"/>
          <w:lang w:val="en-US" w:eastAsia="zh-CN"/>
        </w:rPr>
        <w:t>行</w:t>
      </w:r>
      <w:r>
        <w:rPr>
          <w:rFonts w:hint="default" w:eastAsia="宋体"/>
          <w:color w:val="auto"/>
          <w:sz w:val="24"/>
          <w:szCs w:val="24"/>
          <w:lang w:val="en-US" w:eastAsia="zh-CN"/>
        </w:rPr>
        <w:t xml:space="preserve">    号：</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spacing w:before="5"/>
        <w:rPr>
          <w:rFonts w:ascii="仿宋"/>
          <w:b/>
          <w:sz w:val="29"/>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0"/>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9"/>
        <w:rPr>
          <w:rFonts w:hint="eastAsia" w:ascii="仿宋" w:hAnsi="仿宋" w:eastAsia="仿宋" w:cs="仿宋"/>
          <w:b/>
          <w:sz w:val="14"/>
        </w:rPr>
      </w:pPr>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10"/>
        <w:spacing w:before="9"/>
        <w:rPr>
          <w:rFonts w:hint="eastAsia" w:ascii="仿宋" w:hAnsi="仿宋" w:eastAsia="仿宋" w:cs="仿宋"/>
          <w:b/>
          <w:sz w:val="89"/>
        </w:rPr>
      </w:pPr>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9034"/>
      <w:bookmarkStart w:id="59" w:name="_Toc1761"/>
      <w:r>
        <w:rPr>
          <w:rFonts w:hint="eastAsia" w:ascii="仿宋" w:hAnsi="仿宋" w:eastAsia="仿宋" w:cs="仿宋"/>
          <w:w w:val="110"/>
          <w:sz w:val="72"/>
          <w:szCs w:val="72"/>
        </w:rPr>
        <w:t>响</w:t>
      </w:r>
      <w:bookmarkEnd w:id="58"/>
      <w:bookmarkEnd w:id="59"/>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0"/>
        <w:rPr>
          <w:rFonts w:hint="eastAsia" w:ascii="仿宋" w:hAnsi="仿宋" w:eastAsia="仿宋" w:cs="仿宋"/>
          <w:b/>
          <w:sz w:val="52"/>
        </w:rPr>
      </w:pPr>
    </w:p>
    <w:p>
      <w:pPr>
        <w:pStyle w:val="10"/>
        <w:spacing w:before="10"/>
        <w:rPr>
          <w:rFonts w:hint="eastAsia" w:ascii="仿宋" w:hAnsi="仿宋" w:eastAsia="仿宋" w:cs="仿宋"/>
          <w:b/>
          <w:sz w:val="41"/>
        </w:rPr>
      </w:pP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4"/>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0"/>
        <w:spacing w:before="5"/>
        <w:rPr>
          <w:b/>
          <w:spacing w:val="0"/>
          <w:sz w:val="15"/>
        </w:rPr>
      </w:pPr>
    </w:p>
    <w:p>
      <w:pPr>
        <w:pStyle w:val="10"/>
        <w:numPr>
          <w:ilvl w:val="0"/>
          <w:numId w:val="52"/>
        </w:numPr>
        <w:spacing w:before="66" w:line="405" w:lineRule="auto"/>
        <w:ind w:right="7837"/>
        <w:rPr>
          <w:spacing w:val="0"/>
          <w:sz w:val="24"/>
          <w:szCs w:val="24"/>
        </w:rPr>
      </w:pPr>
      <w:r>
        <w:rPr>
          <w:spacing w:val="0"/>
          <w:sz w:val="24"/>
          <w:szCs w:val="24"/>
        </w:rPr>
        <w:t>自查响应表</w:t>
      </w:r>
    </w:p>
    <w:p>
      <w:pPr>
        <w:pStyle w:val="10"/>
        <w:numPr>
          <w:ilvl w:val="0"/>
          <w:numId w:val="52"/>
        </w:numPr>
        <w:spacing w:before="66" w:line="405" w:lineRule="auto"/>
        <w:ind w:right="7837"/>
        <w:rPr>
          <w:spacing w:val="0"/>
          <w:sz w:val="24"/>
          <w:szCs w:val="24"/>
        </w:rPr>
      </w:pPr>
      <w:r>
        <w:rPr>
          <w:spacing w:val="0"/>
          <w:sz w:val="24"/>
          <w:szCs w:val="24"/>
        </w:rPr>
        <w:t>价格部分</w:t>
      </w:r>
    </w:p>
    <w:p>
      <w:pPr>
        <w:pStyle w:val="10"/>
        <w:numPr>
          <w:ilvl w:val="0"/>
          <w:numId w:val="52"/>
        </w:numPr>
        <w:spacing w:before="66" w:line="405" w:lineRule="auto"/>
        <w:ind w:right="7837"/>
        <w:rPr>
          <w:spacing w:val="0"/>
          <w:sz w:val="24"/>
          <w:szCs w:val="24"/>
        </w:rPr>
      </w:pPr>
      <w:r>
        <w:rPr>
          <w:spacing w:val="0"/>
          <w:sz w:val="24"/>
          <w:szCs w:val="24"/>
        </w:rPr>
        <w:t>资格性文件</w:t>
      </w:r>
    </w:p>
    <w:p>
      <w:pPr>
        <w:pStyle w:val="10"/>
        <w:numPr>
          <w:ilvl w:val="0"/>
          <w:numId w:val="52"/>
        </w:numPr>
        <w:spacing w:before="66" w:line="405" w:lineRule="auto"/>
        <w:ind w:right="7837"/>
        <w:rPr>
          <w:spacing w:val="0"/>
          <w:sz w:val="24"/>
          <w:szCs w:val="24"/>
        </w:rPr>
      </w:pPr>
      <w:r>
        <w:rPr>
          <w:spacing w:val="0"/>
          <w:sz w:val="24"/>
          <w:szCs w:val="24"/>
        </w:rPr>
        <w:t>商务部分</w:t>
      </w:r>
    </w:p>
    <w:p>
      <w:pPr>
        <w:pStyle w:val="10"/>
        <w:numPr>
          <w:ilvl w:val="0"/>
          <w:numId w:val="52"/>
        </w:numPr>
        <w:spacing w:before="66" w:line="405" w:lineRule="auto"/>
        <w:ind w:right="7837"/>
        <w:rPr>
          <w:spacing w:val="0"/>
          <w:sz w:val="24"/>
          <w:szCs w:val="24"/>
        </w:rPr>
      </w:pPr>
      <w:r>
        <w:rPr>
          <w:spacing w:val="0"/>
          <w:sz w:val="24"/>
          <w:szCs w:val="24"/>
        </w:rPr>
        <w:t>技术部分</w:t>
      </w:r>
    </w:p>
    <w:p>
      <w:pPr>
        <w:pStyle w:val="10"/>
        <w:rPr>
          <w:spacing w:val="0"/>
        </w:rPr>
      </w:pPr>
    </w:p>
    <w:p>
      <w:pPr>
        <w:pStyle w:val="10"/>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7"/>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0"/>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p>
    <w:p>
      <w:pPr>
        <w:pStyle w:val="10"/>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0"/>
        <w:spacing w:before="9"/>
        <w:rPr>
          <w:rFonts w:hint="eastAsia" w:ascii="仿宋" w:hAnsi="仿宋" w:eastAsia="仿宋" w:cs="仿宋"/>
          <w:b/>
          <w:sz w:val="19"/>
        </w:rPr>
      </w:pPr>
    </w:p>
    <w:p>
      <w:pPr>
        <w:pStyle w:val="29"/>
        <w:numPr>
          <w:ilvl w:val="0"/>
          <w:numId w:val="53"/>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rPr>
        <w:t>资格性自查表</w:t>
      </w:r>
    </w:p>
    <w:p>
      <w:pPr>
        <w:pStyle w:val="10"/>
        <w:spacing w:before="7"/>
        <w:rPr>
          <w:rFonts w:hint="eastAsia" w:ascii="仿宋" w:hAnsi="仿宋" w:eastAsia="仿宋" w:cs="仿宋"/>
          <w:b/>
          <w:sz w:val="10"/>
        </w:rPr>
      </w:pPr>
    </w:p>
    <w:tbl>
      <w:tblPr>
        <w:tblStyle w:val="2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8"/>
        <w:gridCol w:w="5409"/>
        <w:gridCol w:w="1782"/>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82"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0"/>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spacing w:after="0" w:line="360" w:lineRule="auto"/>
        <w:rPr>
          <w:rFonts w:hint="eastAsia" w:ascii="仿宋" w:hAnsi="仿宋" w:eastAsia="仿宋" w:cs="仿宋"/>
          <w:color w:val="000000"/>
          <w:sz w:val="21"/>
          <w:szCs w:val="21"/>
          <w:highlight w:val="none"/>
        </w:rPr>
      </w:pPr>
    </w:p>
    <w:p>
      <w:pPr>
        <w:pStyle w:val="10"/>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29"/>
        <w:numPr>
          <w:ilvl w:val="0"/>
          <w:numId w:val="53"/>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10"/>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5"/>
        <w:gridCol w:w="6069"/>
        <w:gridCol w:w="187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0"/>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spacing w:after="0" w:line="360" w:lineRule="auto"/>
        <w:rPr>
          <w:rFonts w:hint="eastAsia" w:ascii="仿宋" w:hAnsi="仿宋" w:eastAsia="仿宋" w:cs="仿宋"/>
          <w:color w:val="000000"/>
          <w:sz w:val="21"/>
          <w:szCs w:val="21"/>
          <w:highlight w:val="none"/>
        </w:rPr>
      </w:pPr>
    </w:p>
    <w:p>
      <w:pPr>
        <w:pStyle w:val="10"/>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0"/>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0"/>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0"/>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0"/>
        <w:jc w:val="center"/>
        <w:rPr>
          <w:rFonts w:hint="eastAsia" w:ascii="仿宋" w:hAnsi="仿宋" w:eastAsia="仿宋" w:cs="仿宋"/>
          <w:color w:val="000000"/>
          <w:sz w:val="36"/>
          <w:highlight w:val="none"/>
        </w:rPr>
      </w:pPr>
    </w:p>
    <w:p>
      <w:pPr>
        <w:jc w:val="center"/>
        <w:rPr>
          <w:rFonts w:hint="eastAsia"/>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2"/>
        <w:numPr>
          <w:ilvl w:val="0"/>
          <w:numId w:val="54"/>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42951051"/>
      <w:bookmarkStart w:id="67" w:name="_Toc19407"/>
      <w:bookmarkStart w:id="68" w:name="_Toc31955"/>
      <w:bookmarkStart w:id="69" w:name="_Toc25628"/>
      <w:bookmarkStart w:id="70" w:name="_Toc6802"/>
      <w:r>
        <w:rPr>
          <w:rFonts w:hint="eastAsia" w:ascii="仿宋" w:hAnsi="仿宋" w:eastAsia="仿宋" w:cs="仿宋"/>
          <w:b/>
          <w:bCs w:val="0"/>
          <w:sz w:val="28"/>
          <w:szCs w:val="22"/>
          <w:lang w:val="en-US" w:eastAsia="zh-CN" w:bidi="zh-CN"/>
        </w:rPr>
        <w:t>首轮报价总表格式</w:t>
      </w:r>
      <w:bookmarkEnd w:id="66"/>
      <w:bookmarkEnd w:id="67"/>
      <w:bookmarkEnd w:id="68"/>
      <w:bookmarkEnd w:id="69"/>
      <w:bookmarkEnd w:id="70"/>
      <w:bookmarkStart w:id="71" w:name="_Hlt10456397"/>
      <w:bookmarkEnd w:id="71"/>
    </w:p>
    <w:p>
      <w:pPr>
        <w:pStyle w:val="14"/>
        <w:spacing w:line="480" w:lineRule="exact"/>
        <w:ind w:left="440" w:leftChars="200"/>
        <w:rPr>
          <w:rFonts w:hint="eastAsia" w:ascii="仿宋" w:hAnsi="仿宋" w:eastAsia="仿宋" w:cs="仿宋"/>
          <w:b/>
          <w:color w:val="000000"/>
          <w:highlight w:val="none"/>
        </w:rPr>
      </w:pPr>
    </w:p>
    <w:p>
      <w:pPr>
        <w:pStyle w:val="10"/>
        <w:spacing w:before="7"/>
        <w:rPr>
          <w:rFonts w:hint="eastAsia" w:ascii="仿宋" w:hAnsi="仿宋" w:eastAsia="仿宋" w:cs="仿宋"/>
          <w:b/>
          <w:sz w:val="28"/>
        </w:rPr>
      </w:pPr>
      <w:bookmarkStart w:id="72" w:name="2.1.谈判报价表（首轮报价）"/>
      <w:bookmarkEnd w:id="72"/>
    </w:p>
    <w:p>
      <w:pPr>
        <w:pStyle w:val="10"/>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0"/>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0"/>
        <w:jc w:val="center"/>
        <w:rPr>
          <w:rFonts w:hint="eastAsia"/>
          <w:lang w:val="en-US" w:eastAsia="zh-CN"/>
        </w:rPr>
      </w:pP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30"/>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0"/>
              <w:spacing w:before="8"/>
              <w:rPr>
                <w:rFonts w:hint="eastAsia" w:ascii="仿宋" w:hAnsi="仿宋" w:eastAsia="仿宋" w:cs="仿宋"/>
                <w:sz w:val="18"/>
              </w:rPr>
            </w:pPr>
          </w:p>
          <w:p>
            <w:pPr>
              <w:pStyle w:val="30"/>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0"/>
              <w:jc w:val="center"/>
              <w:rPr>
                <w:rFonts w:hint="eastAsia" w:ascii="仿宋" w:hAnsi="仿宋" w:eastAsia="仿宋" w:cs="仿宋"/>
                <w:sz w:val="20"/>
              </w:rPr>
            </w:pPr>
          </w:p>
        </w:tc>
        <w:tc>
          <w:tcPr>
            <w:tcW w:w="5272" w:type="dxa"/>
          </w:tcPr>
          <w:p>
            <w:pPr>
              <w:pStyle w:val="30"/>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0"/>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0"/>
        <w:rPr>
          <w:rFonts w:hint="eastAsia" w:ascii="仿宋" w:hAnsi="仿宋" w:eastAsia="仿宋" w:cs="仿宋"/>
          <w:sz w:val="22"/>
        </w:rPr>
      </w:pPr>
    </w:p>
    <w:p>
      <w:pPr>
        <w:pStyle w:val="10"/>
        <w:spacing w:before="158"/>
        <w:ind w:left="318"/>
        <w:rPr>
          <w:rFonts w:hint="eastAsia" w:ascii="仿宋" w:hAnsi="仿宋" w:eastAsia="仿宋" w:cs="仿宋"/>
        </w:rPr>
      </w:pPr>
      <w:r>
        <w:rPr>
          <w:rFonts w:hint="eastAsia" w:ascii="仿宋" w:hAnsi="仿宋" w:eastAsia="仿宋" w:cs="仿宋"/>
        </w:rPr>
        <w:t>注：</w:t>
      </w:r>
    </w:p>
    <w:p>
      <w:pPr>
        <w:pStyle w:val="10"/>
        <w:spacing w:before="11"/>
        <w:rPr>
          <w:rFonts w:hint="eastAsia" w:ascii="仿宋" w:hAnsi="仿宋" w:eastAsia="仿宋" w:cs="仿宋"/>
          <w:sz w:val="15"/>
        </w:rPr>
      </w:pPr>
    </w:p>
    <w:p>
      <w:pPr>
        <w:pStyle w:val="10"/>
        <w:spacing w:line="422" w:lineRule="auto"/>
        <w:ind w:left="632" w:right="435" w:hanging="317"/>
        <w:jc w:val="both"/>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、供应商的</w:t>
      </w:r>
      <w:r>
        <w:rPr>
          <w:rFonts w:hint="eastAsia" w:ascii="仿宋" w:hAnsi="仿宋" w:eastAsia="仿宋" w:cs="仿宋"/>
          <w:lang w:val="en-US" w:eastAsia="zh-CN"/>
        </w:rPr>
        <w:t>最终</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0"/>
        <w:spacing w:before="2"/>
        <w:ind w:left="318"/>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、此表是响应文件的必要文件，是响应文件的组成部分。</w:t>
      </w:r>
    </w:p>
    <w:p>
      <w:pPr>
        <w:pStyle w:val="10"/>
        <w:spacing w:before="4"/>
        <w:rPr>
          <w:rFonts w:hint="eastAsia" w:ascii="仿宋" w:hAnsi="仿宋" w:eastAsia="仿宋" w:cs="仿宋"/>
          <w:sz w:val="15"/>
        </w:rPr>
      </w:pPr>
    </w:p>
    <w:p>
      <w:pPr>
        <w:pStyle w:val="10"/>
        <w:ind w:left="318"/>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、响应供应商认为本次谈判采购中的未尽事宜，可另表提出建议，该部分费用不在报价总价中。</w:t>
      </w:r>
    </w:p>
    <w:p>
      <w:pPr>
        <w:pStyle w:val="10"/>
        <w:rPr>
          <w:rFonts w:hint="eastAsia" w:ascii="仿宋" w:hAnsi="仿宋" w:eastAsia="仿宋" w:cs="仿宋"/>
          <w:sz w:val="20"/>
        </w:rPr>
      </w:pPr>
    </w:p>
    <w:p>
      <w:pPr>
        <w:pStyle w:val="10"/>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10"/>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4"/>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4"/>
        <w:spacing w:line="480" w:lineRule="exact"/>
        <w:jc w:val="center"/>
        <w:rPr>
          <w:rFonts w:hint="eastAsia" w:ascii="仿宋" w:hAnsi="仿宋" w:eastAsia="仿宋" w:cs="仿宋"/>
          <w:b/>
          <w:color w:val="000000"/>
          <w:sz w:val="36"/>
          <w:highlight w:val="none"/>
        </w:rPr>
      </w:pPr>
    </w:p>
    <w:p>
      <w:pPr>
        <w:pStyle w:val="2"/>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30343"/>
      <w:bookmarkStart w:id="76" w:name="_Toc13966"/>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5"/>
        <w:numPr>
          <w:ilvl w:val="0"/>
          <w:numId w:val="55"/>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4"/>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4"/>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4"/>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pStyle w:val="14"/>
        <w:numPr>
          <w:ilvl w:val="0"/>
          <w:numId w:val="55"/>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技术</w:t>
      </w:r>
      <w:r>
        <w:rPr>
          <w:rFonts w:hint="eastAsia" w:ascii="仿宋" w:hAnsi="仿宋" w:eastAsia="仿宋" w:cs="仿宋"/>
          <w:color w:val="000000"/>
          <w:kern w:val="0"/>
          <w:sz w:val="21"/>
          <w:szCs w:val="20"/>
          <w:highlight w:val="none"/>
          <w:lang w:val="en-US" w:eastAsia="zh-CN" w:bidi="ar-SA"/>
        </w:rPr>
        <w:t>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5"/>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0"/>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0"/>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0"/>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6267"/>
          <w:tab w:val="left" w:pos="9507"/>
        </w:tabs>
        <w:spacing w:before="66" w:line="240" w:lineRule="auto"/>
        <w:ind w:left="448" w:right="816"/>
        <w:rPr>
          <w:rFonts w:hint="eastAsia" w:ascii="仿宋" w:hAnsi="仿宋" w:eastAsia="仿宋" w:cs="仿宋"/>
          <w:spacing w:val="0"/>
          <w:sz w:val="21"/>
          <w:szCs w:val="21"/>
        </w:rPr>
      </w:pPr>
    </w:p>
    <w:p>
      <w:pPr>
        <w:pStyle w:val="10"/>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0"/>
        <w:tabs>
          <w:tab w:val="left" w:pos="6267"/>
          <w:tab w:val="left" w:pos="9507"/>
        </w:tabs>
        <w:spacing w:before="66" w:line="24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11614"/>
      <w:bookmarkStart w:id="79" w:name="_Toc24196"/>
      <w:bookmarkStart w:id="80" w:name="_Toc29958"/>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4"/>
        <w:numPr>
          <w:ilvl w:val="0"/>
          <w:numId w:val="57"/>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4"/>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4"/>
        <w:numPr>
          <w:ilvl w:val="0"/>
          <w:numId w:val="57"/>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4"/>
        <w:spacing w:line="480" w:lineRule="exact"/>
        <w:rPr>
          <w:rFonts w:hint="eastAsia" w:ascii="仿宋" w:hAnsi="仿宋" w:eastAsia="仿宋" w:cs="仿宋"/>
          <w:color w:val="000000"/>
          <w:highlight w:val="none"/>
        </w:rPr>
      </w:pPr>
    </w:p>
    <w:p>
      <w:pPr>
        <w:pStyle w:val="14"/>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4"/>
        <w:spacing w:line="480" w:lineRule="exact"/>
        <w:rPr>
          <w:rFonts w:hint="eastAsia" w:ascii="仿宋" w:hAnsi="仿宋" w:eastAsia="仿宋" w:cs="仿宋"/>
          <w:color w:val="000000"/>
          <w:sz w:val="24"/>
          <w:highlight w:val="none"/>
        </w:rPr>
      </w:pPr>
    </w:p>
    <w:p>
      <w:pPr>
        <w:pStyle w:val="14"/>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4"/>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3"/>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0"/>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10278"/>
      <w:bookmarkStart w:id="83" w:name="_Toc12321"/>
      <w:bookmarkStart w:id="84" w:name="_Toc5962"/>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4"/>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4"/>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4"/>
        <w:spacing w:line="480" w:lineRule="exact"/>
        <w:rPr>
          <w:rFonts w:hint="eastAsia" w:ascii="仿宋" w:hAnsi="仿宋" w:eastAsia="仿宋" w:cs="仿宋"/>
          <w:color w:val="000000"/>
          <w:highlight w:val="none"/>
        </w:rPr>
      </w:pPr>
    </w:p>
    <w:p>
      <w:pPr>
        <w:pStyle w:val="14"/>
        <w:spacing w:line="480" w:lineRule="exact"/>
        <w:ind w:left="440" w:leftChars="200" w:firstLine="440" w:firstLineChars="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4"/>
        <w:spacing w:line="480" w:lineRule="exact"/>
        <w:ind w:left="440" w:leftChars="200" w:firstLine="420" w:firstLineChars="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4"/>
        <w:spacing w:line="480" w:lineRule="exact"/>
        <w:ind w:left="0" w:leftChars="0" w:firstLine="880" w:firstLineChars="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4"/>
        <w:spacing w:line="480" w:lineRule="exact"/>
        <w:ind w:left="0" w:leftChars="0" w:firstLine="880" w:firstLineChars="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4"/>
        <w:spacing w:line="480" w:lineRule="exact"/>
        <w:ind w:left="0" w:leftChars="0" w:firstLine="880" w:firstLineChars="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4"/>
        <w:spacing w:line="480" w:lineRule="exact"/>
        <w:rPr>
          <w:rFonts w:hint="eastAsia" w:ascii="仿宋" w:hAnsi="仿宋" w:eastAsia="仿宋" w:cs="仿宋"/>
          <w:color w:val="000000"/>
          <w:highlight w:val="none"/>
        </w:rPr>
      </w:pPr>
    </w:p>
    <w:p>
      <w:pPr>
        <w:pStyle w:val="14"/>
        <w:spacing w:line="480" w:lineRule="exact"/>
        <w:ind w:left="440" w:leftChars="200" w:firstLine="440" w:firstLine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4"/>
        <w:spacing w:line="480" w:lineRule="exact"/>
        <w:rPr>
          <w:rFonts w:hint="eastAsia" w:ascii="仿宋" w:hAnsi="仿宋" w:eastAsia="仿宋" w:cs="仿宋"/>
          <w:color w:val="000000"/>
          <w:highlight w:val="none"/>
        </w:rPr>
      </w:pPr>
    </w:p>
    <w:p>
      <w:pPr>
        <w:pStyle w:val="10"/>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0"/>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0"/>
        <w:rPr>
          <w:rFonts w:hint="eastAsia" w:ascii="仿宋" w:hAnsi="仿宋" w:eastAsia="仿宋" w:cs="仿宋"/>
          <w:b/>
          <w:sz w:val="28"/>
        </w:rPr>
      </w:pPr>
    </w:p>
    <w:p>
      <w:pPr>
        <w:pStyle w:val="10"/>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0"/>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9"/>
        <w:rPr>
          <w:rFonts w:hint="eastAsia" w:ascii="仿宋" w:hAnsi="仿宋" w:eastAsia="仿宋" w:cs="仿宋"/>
          <w:b/>
        </w:rPr>
      </w:pPr>
    </w:p>
    <w:p>
      <w:pPr>
        <w:pStyle w:val="10"/>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10"/>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6"/>
        <w:rPr>
          <w:rFonts w:hint="eastAsia" w:ascii="仿宋" w:hAnsi="仿宋" w:eastAsia="仿宋" w:cs="仿宋"/>
          <w:sz w:val="26"/>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10"/>
        <w:rPr>
          <w:rFonts w:hint="eastAsia" w:ascii="仿宋" w:hAnsi="仿宋" w:eastAsia="仿宋" w:cs="仿宋"/>
          <w:b/>
          <w:sz w:val="28"/>
        </w:rPr>
      </w:pPr>
    </w:p>
    <w:p>
      <w:pPr>
        <w:pStyle w:val="10"/>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0"/>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keepNext w:val="0"/>
        <w:keepLines w:val="0"/>
        <w:pageBreakBefore w:val="0"/>
        <w:widowControl w:val="0"/>
        <w:kinsoku/>
        <w:wordWrap/>
        <w:overflowPunct/>
        <w:topLinePunct w:val="0"/>
        <w:autoSpaceDE w:val="0"/>
        <w:autoSpaceDN w:val="0"/>
        <w:bidi w:val="0"/>
        <w:adjustRightInd/>
        <w:snapToGrid/>
        <w:spacing w:before="159" w:line="367" w:lineRule="auto"/>
        <w:ind w:left="527" w:leftChars="0" w:right="0" w:firstLine="133" w:firstLineChars="0"/>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10"/>
        <w:keepNext w:val="0"/>
        <w:keepLines w:val="0"/>
        <w:pageBreakBefore w:val="0"/>
        <w:widowControl w:val="0"/>
        <w:kinsoku/>
        <w:wordWrap/>
        <w:overflowPunct/>
        <w:topLinePunct w:val="0"/>
        <w:autoSpaceDE w:val="0"/>
        <w:autoSpaceDN w:val="0"/>
        <w:bidi w:val="0"/>
        <w:adjustRightInd/>
        <w:snapToGrid/>
        <w:spacing w:before="159" w:line="367" w:lineRule="auto"/>
        <w:ind w:left="527" w:leftChars="0" w:right="0" w:firstLine="133" w:firstLineChars="0"/>
        <w:textAlignment w:val="auto"/>
        <w:rPr>
          <w:rFonts w:hint="eastAsia" w:ascii="仿宋" w:hAnsi="仿宋" w:eastAsia="仿宋" w:cs="仿宋"/>
        </w:rPr>
      </w:pPr>
      <w:r>
        <w:rPr>
          <w:rFonts w:hint="eastAsia" w:ascii="仿宋" w:hAnsi="仿宋" w:eastAsia="仿宋" w:cs="仿宋"/>
        </w:rPr>
        <w:t>特此承诺。</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5"/>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10"/>
        <w:rPr>
          <w:rFonts w:hint="eastAsia" w:ascii="仿宋" w:hAnsi="仿宋" w:eastAsia="仿宋" w:cs="仿宋"/>
          <w:b/>
          <w:sz w:val="28"/>
          <w:highlight w:val="none"/>
        </w:rPr>
      </w:pPr>
    </w:p>
    <w:p>
      <w:pPr>
        <w:pStyle w:val="10"/>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0"/>
        <w:spacing w:before="4"/>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10"/>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10"/>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10"/>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5"/>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0"/>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10"/>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0"/>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10"/>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10"/>
        <w:rPr>
          <w:rFonts w:hint="eastAsia"/>
          <w:lang w:val="en-US" w:eastAsia="zh-CN"/>
        </w:rPr>
      </w:pPr>
    </w:p>
    <w:p>
      <w:pPr>
        <w:rPr>
          <w:rFonts w:hint="eastAsia"/>
          <w:lang w:val="en-US" w:eastAsia="zh-CN"/>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0"/>
        <w:rPr>
          <w:rFonts w:hint="eastAsia" w:ascii="仿宋" w:hAnsi="仿宋" w:eastAsia="仿宋" w:cs="仿宋"/>
          <w:b/>
          <w:sz w:val="28"/>
        </w:rPr>
      </w:pPr>
    </w:p>
    <w:p>
      <w:pPr>
        <w:pStyle w:val="10"/>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0"/>
        <w:rPr>
          <w:rFonts w:hint="eastAsia" w:ascii="仿宋" w:hAnsi="仿宋" w:eastAsia="仿宋" w:cs="仿宋"/>
          <w:b/>
          <w:sz w:val="32"/>
        </w:rPr>
      </w:pPr>
    </w:p>
    <w:p>
      <w:pPr>
        <w:pStyle w:val="8"/>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9"/>
        <w:rPr>
          <w:rFonts w:hint="eastAsia" w:ascii="仿宋" w:hAnsi="仿宋" w:eastAsia="仿宋" w:cs="仿宋"/>
          <w:b/>
        </w:rPr>
      </w:pPr>
    </w:p>
    <w:p>
      <w:pPr>
        <w:pStyle w:val="10"/>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10"/>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5"/>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0"/>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0"/>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0"/>
        <w:rPr>
          <w:rFonts w:hint="eastAsia" w:ascii="仿宋" w:hAnsi="仿宋" w:eastAsia="仿宋" w:cs="仿宋"/>
          <w:b/>
          <w:sz w:val="32"/>
        </w:rPr>
      </w:pPr>
    </w:p>
    <w:p>
      <w:pPr>
        <w:pStyle w:val="8"/>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left="0" w:leftChars="0" w:right="0" w:firstLine="659" w:firstLineChars="314"/>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0"/>
        <w:keepNext w:val="0"/>
        <w:keepLines w:val="0"/>
        <w:pageBreakBefore w:val="0"/>
        <w:widowControl w:val="0"/>
        <w:numPr>
          <w:ilvl w:val="0"/>
          <w:numId w:val="5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0"/>
        <w:keepNext w:val="0"/>
        <w:keepLines w:val="0"/>
        <w:pageBreakBefore w:val="0"/>
        <w:widowControl w:val="0"/>
        <w:numPr>
          <w:ilvl w:val="0"/>
          <w:numId w:val="5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0"/>
        <w:spacing w:before="3"/>
        <w:rPr>
          <w:rFonts w:hint="eastAsia" w:ascii="仿宋" w:hAnsi="仿宋" w:eastAsia="仿宋" w:cs="仿宋"/>
          <w:sz w:val="26"/>
        </w:rPr>
      </w:pPr>
    </w:p>
    <w:p>
      <w:pPr>
        <w:pStyle w:val="8"/>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1" w:line="484" w:lineRule="auto"/>
        <w:ind w:left="728" w:right="279" w:hanging="629"/>
        <w:rPr>
          <w:rFonts w:hint="eastAsia" w:ascii="仿宋" w:hAnsi="仿宋" w:eastAsia="仿宋" w:cs="仿宋"/>
        </w:rPr>
      </w:pPr>
    </w:p>
    <w:p>
      <w:pPr>
        <w:pStyle w:val="10"/>
        <w:spacing w:before="1" w:line="484" w:lineRule="auto"/>
        <w:ind w:left="220" w:leftChars="100" w:right="279" w:firstLine="438" w:firstLineChars="209"/>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0"/>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5"/>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4"/>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0"/>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2"/>
        <w:rPr>
          <w:rFonts w:hint="eastAsia" w:ascii="仿宋" w:hAnsi="仿宋" w:eastAsia="仿宋" w:cs="仿宋"/>
          <w:b/>
          <w:sz w:val="22"/>
        </w:rPr>
      </w:pPr>
    </w:p>
    <w:p>
      <w:pPr>
        <w:pStyle w:val="8"/>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1"/>
        <w:rPr>
          <w:rFonts w:hint="eastAsia" w:ascii="仿宋" w:hAnsi="仿宋" w:eastAsia="仿宋" w:cs="仿宋"/>
          <w:b/>
          <w:spacing w:val="0"/>
          <w:sz w:val="23"/>
        </w:rPr>
      </w:pP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left="220" w:leftChars="100" w:right="0" w:firstLine="420" w:firstLineChars="200"/>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left="0" w:leftChars="0" w:right="0" w:firstLine="659" w:firstLineChars="314"/>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2"/>
        <w:rPr>
          <w:rFonts w:hint="eastAsia" w:ascii="仿宋" w:hAnsi="仿宋" w:eastAsia="仿宋" w:cs="仿宋"/>
          <w:b/>
          <w:sz w:val="22"/>
        </w:rPr>
      </w:pPr>
    </w:p>
    <w:p>
      <w:pPr>
        <w:pStyle w:val="8"/>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1"/>
        <w:rPr>
          <w:rFonts w:hint="eastAsia" w:ascii="仿宋" w:hAnsi="仿宋" w:eastAsia="仿宋" w:cs="仿宋"/>
          <w:b/>
          <w:spacing w:val="0"/>
          <w:sz w:val="23"/>
        </w:rPr>
      </w:pPr>
      <w:bookmarkStart w:id="115" w:name="_GoBack"/>
      <w:bookmarkEnd w:id="115"/>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left="220" w:leftChars="100" w:right="0" w:firstLine="420" w:firstLineChars="200"/>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left="0" w:leftChars="0" w:right="0" w:firstLine="659" w:firstLineChars="314"/>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4"/>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rPr>
          <w:rFonts w:hint="eastAsia" w:ascii="仿宋" w:hAnsi="仿宋" w:eastAsia="仿宋" w:cs="仿宋"/>
        </w:rPr>
      </w:pPr>
      <w:bookmarkStart w:id="87"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10"/>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5"/>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（新兴县城市管理事务中心）</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（新兴县车管所门口段(二十四米规划路)路面硬底化工程）</w:t>
      </w:r>
      <w:r>
        <w:rPr>
          <w:rFonts w:hint="eastAsia" w:ascii="仿宋" w:hAnsi="仿宋" w:eastAsia="仿宋" w:cs="仿宋"/>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（新兴县车管所门口段(二十四米规划路)路面硬底化工程）</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（建筑业）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10"/>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10"/>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10"/>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10"/>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10"/>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0"/>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10"/>
        <w:rPr>
          <w:rFonts w:hint="eastAsia" w:ascii="仿宋" w:hAnsi="仿宋" w:eastAsia="仿宋" w:cs="仿宋"/>
          <w:color w:val="000000"/>
          <w:sz w:val="21"/>
          <w:szCs w:val="21"/>
          <w:highlight w:val="none"/>
        </w:rPr>
      </w:pPr>
    </w:p>
    <w:p>
      <w:pPr>
        <w:pStyle w:val="10"/>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10"/>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5"/>
        <w:rPr>
          <w:rFonts w:hint="eastAsia"/>
        </w:rPr>
        <w:sectPr>
          <w:pgSz w:w="11911" w:h="16840"/>
          <w:pgMar w:top="1134" w:right="907" w:bottom="1134" w:left="907" w:header="720" w:footer="1134"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0"/>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10"/>
        <w:rPr>
          <w:rFonts w:hint="eastAsia" w:ascii="仿宋" w:hAnsi="仿宋" w:eastAsia="仿宋" w:cs="仿宋"/>
          <w:color w:val="000000"/>
          <w:sz w:val="21"/>
          <w:szCs w:val="21"/>
          <w:highlight w:val="none"/>
        </w:rPr>
      </w:pPr>
    </w:p>
    <w:p>
      <w:pPr>
        <w:pStyle w:val="10"/>
        <w:rPr>
          <w:rFonts w:hint="eastAsia" w:ascii="仿宋" w:hAnsi="仿宋" w:eastAsia="仿宋" w:cs="仿宋"/>
          <w:color w:val="000000"/>
          <w:sz w:val="21"/>
          <w:szCs w:val="21"/>
          <w:highlight w:val="none"/>
        </w:rPr>
      </w:pPr>
    </w:p>
    <w:p>
      <w:pPr>
        <w:pStyle w:val="10"/>
        <w:spacing w:before="1"/>
        <w:rPr>
          <w:rFonts w:hint="eastAsia" w:ascii="仿宋" w:hAnsi="仿宋" w:eastAsia="仿宋" w:cs="仿宋"/>
          <w:color w:val="000000"/>
          <w:sz w:val="21"/>
          <w:szCs w:val="21"/>
          <w:highlight w:val="none"/>
        </w:rPr>
      </w:pPr>
    </w:p>
    <w:p>
      <w:pPr>
        <w:spacing w:before="0"/>
        <w:ind w:left="449" w:leftChars="200" w:right="0" w:hanging="9" w:firstLineChars="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10"/>
        <w:rPr>
          <w:rFonts w:hint="eastAsia" w:ascii="仿宋" w:hAnsi="仿宋" w:eastAsia="仿宋" w:cs="仿宋"/>
          <w:color w:val="000000"/>
          <w:sz w:val="21"/>
          <w:szCs w:val="21"/>
          <w:highlight w:val="none"/>
        </w:rPr>
      </w:pPr>
    </w:p>
    <w:p>
      <w:pPr>
        <w:pStyle w:val="10"/>
        <w:rPr>
          <w:rFonts w:hint="eastAsia" w:ascii="仿宋" w:hAnsi="仿宋" w:eastAsia="仿宋" w:cs="仿宋"/>
          <w:color w:val="000000"/>
          <w:sz w:val="20"/>
          <w:highlight w:val="none"/>
        </w:rPr>
      </w:pPr>
    </w:p>
    <w:p>
      <w:pPr>
        <w:pStyle w:val="10"/>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0"/>
        <w:rPr>
          <w:rFonts w:hint="eastAsia" w:ascii="仿宋" w:hAnsi="仿宋" w:eastAsia="仿宋" w:cs="仿宋"/>
          <w:color w:val="000000"/>
          <w:szCs w:val="21"/>
          <w:highlight w:val="none"/>
        </w:rPr>
      </w:pPr>
    </w:p>
    <w:p>
      <w:pPr>
        <w:pStyle w:val="10"/>
        <w:rPr>
          <w:rFonts w:hint="eastAsia" w:ascii="仿宋" w:hAnsi="仿宋" w:eastAsia="仿宋" w:cs="仿宋"/>
          <w:color w:val="000000"/>
          <w:szCs w:val="21"/>
          <w:highlight w:val="none"/>
        </w:rPr>
        <w:sectPr>
          <w:pgSz w:w="11907" w:h="16840"/>
          <w:pgMar w:top="1134" w:right="907" w:bottom="1134" w:left="907" w:header="851" w:footer="851" w:gutter="0"/>
          <w:pgNumType w:fmt="decimal"/>
          <w:cols w:space="720" w:num="1"/>
          <w:docGrid w:linePitch="285" w:charSpace="0"/>
        </w:sectPr>
      </w:pPr>
    </w:p>
    <w:p>
      <w:pPr>
        <w:pStyle w:val="10"/>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8" w:name="_Hlt10549792"/>
      <w:bookmarkEnd w:id="88"/>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0"/>
        <w:rPr>
          <w:rFonts w:hint="eastAsia" w:ascii="仿宋" w:hAnsi="仿宋" w:eastAsia="仿宋" w:cs="仿宋"/>
          <w:b/>
          <w:spacing w:val="0"/>
          <w:sz w:val="32"/>
        </w:rPr>
      </w:pPr>
    </w:p>
    <w:p>
      <w:pPr>
        <w:pStyle w:val="10"/>
        <w:spacing w:before="1"/>
        <w:rPr>
          <w:rFonts w:hint="eastAsia" w:ascii="仿宋" w:hAnsi="仿宋" w:eastAsia="仿宋" w:cs="仿宋"/>
          <w:b/>
          <w:spacing w:val="0"/>
          <w:sz w:val="33"/>
        </w:rPr>
      </w:pPr>
    </w:p>
    <w:p>
      <w:pPr>
        <w:pStyle w:val="7"/>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10"/>
        <w:rPr>
          <w:rFonts w:hint="eastAsia" w:ascii="仿宋" w:hAnsi="仿宋" w:eastAsia="仿宋" w:cs="仿宋"/>
          <w:b/>
          <w:spacing w:val="0"/>
          <w:sz w:val="21"/>
          <w:szCs w:val="21"/>
        </w:rPr>
      </w:pPr>
    </w:p>
    <w:p>
      <w:pPr>
        <w:pStyle w:val="10"/>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10"/>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10"/>
        <w:rPr>
          <w:rFonts w:hint="eastAsia" w:ascii="仿宋" w:hAnsi="仿宋" w:eastAsia="仿宋" w:cs="仿宋"/>
          <w:spacing w:val="0"/>
          <w:sz w:val="21"/>
          <w:szCs w:val="21"/>
        </w:rPr>
      </w:pPr>
    </w:p>
    <w:p>
      <w:pPr>
        <w:pStyle w:val="10"/>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10"/>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spacing w:before="10"/>
        <w:rPr>
          <w:rFonts w:hint="eastAsia" w:ascii="仿宋" w:hAnsi="仿宋" w:eastAsia="仿宋" w:cs="仿宋"/>
          <w:spacing w:val="0"/>
          <w:sz w:val="21"/>
          <w:szCs w:val="21"/>
        </w:rPr>
      </w:pPr>
    </w:p>
    <w:p>
      <w:pPr>
        <w:pStyle w:val="10"/>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10"/>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0"/>
        <w:spacing w:before="6"/>
        <w:rPr>
          <w:b/>
          <w:spacing w:val="0"/>
          <w:sz w:val="31"/>
        </w:rPr>
      </w:pPr>
    </w:p>
    <w:p>
      <w:pPr>
        <w:pStyle w:val="10"/>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10"/>
        <w:bidi w:val="0"/>
        <w:rPr>
          <w:rFonts w:hint="eastAsia" w:ascii="仿宋" w:hAnsi="仿宋" w:eastAsia="仿宋" w:cs="仿宋"/>
          <w:spacing w:val="0"/>
          <w:sz w:val="21"/>
          <w:szCs w:val="21"/>
        </w:rPr>
      </w:pPr>
    </w:p>
    <w:p>
      <w:pPr>
        <w:pStyle w:val="10"/>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10"/>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10"/>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ascii="仿宋" w:hAnsi="仿宋" w:eastAsia="仿宋" w:cs="仿宋"/>
          <w:sz w:val="21"/>
          <w:szCs w:val="21"/>
        </w:rPr>
      </w:pPr>
    </w:p>
    <w:p>
      <w:pPr>
        <w:pStyle w:val="10"/>
        <w:rPr>
          <w:spacing w:val="0"/>
          <w:sz w:val="20"/>
        </w:rPr>
      </w:pPr>
      <w:r>
        <w:rPr>
          <w:rFonts w:hint="eastAsia"/>
        </w:rPr>
        <w:br w:type="page"/>
      </w: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10"/>
        <w:rPr>
          <w:spacing w:val="0"/>
          <w:sz w:val="20"/>
        </w:rPr>
      </w:pPr>
    </w:p>
    <w:p>
      <w:pPr>
        <w:pStyle w:val="2"/>
        <w:ind w:left="1268"/>
        <w:jc w:val="center"/>
        <w:outlineLvl w:val="0"/>
        <w:rPr>
          <w:rFonts w:ascii="Times New Roman" w:hAnsi="Times New Roman" w:eastAsia="宋体" w:cs="Times New Roman"/>
          <w:spacing w:val="0"/>
        </w:rPr>
      </w:pPr>
      <w:bookmarkStart w:id="91" w:name="_Toc19099"/>
      <w:bookmarkStart w:id="92" w:name="_Toc2326"/>
      <w:r>
        <w:rPr>
          <w:spacing w:val="0"/>
        </w:rPr>
        <w:t>四、商务部分</w:t>
      </w:r>
      <w:bookmarkEnd w:id="91"/>
      <w:bookmarkEnd w:id="92"/>
    </w:p>
    <w:p>
      <w:pPr>
        <w:pStyle w:val="10"/>
        <w:rPr>
          <w:rFonts w:hint="eastAsia"/>
        </w:rPr>
      </w:pPr>
    </w:p>
    <w:p>
      <w:pPr>
        <w:rPr>
          <w:rFonts w:hint="eastAsia"/>
        </w:rPr>
      </w:pPr>
    </w:p>
    <w:p>
      <w:pPr>
        <w:numPr>
          <w:ilvl w:val="0"/>
          <w:numId w:val="59"/>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9491"/>
      <w:bookmarkStart w:id="94" w:name="_Toc13063"/>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10"/>
        <w:spacing w:before="3"/>
        <w:rPr>
          <w:rFonts w:hint="eastAsia" w:ascii="仿宋" w:hAnsi="仿宋" w:eastAsia="仿宋" w:cs="仿宋"/>
          <w:b/>
          <w:spacing w:val="0"/>
          <w:sz w:val="45"/>
        </w:rPr>
      </w:pPr>
    </w:p>
    <w:p>
      <w:pPr>
        <w:pStyle w:val="6"/>
        <w:keepNext w:val="0"/>
        <w:keepLines w:val="0"/>
        <w:pageBreakBefore w:val="0"/>
        <w:widowControl w:val="0"/>
        <w:numPr>
          <w:ilvl w:val="0"/>
          <w:numId w:val="60"/>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10"/>
        <w:spacing w:line="360" w:lineRule="auto"/>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keepNext w:val="0"/>
        <w:keepLines w:val="0"/>
        <w:pageBreakBefore w:val="0"/>
        <w:widowControl w:val="0"/>
        <w:numPr>
          <w:ilvl w:val="0"/>
          <w:numId w:val="60"/>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0"/>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0"/>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0"/>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0"/>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0"/>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rPr>
      </w:pPr>
    </w:p>
    <w:p>
      <w:pPr>
        <w:pStyle w:val="6"/>
        <w:keepNext w:val="0"/>
        <w:keepLines w:val="0"/>
        <w:pageBreakBefore w:val="0"/>
        <w:widowControl w:val="0"/>
        <w:numPr>
          <w:ilvl w:val="0"/>
          <w:numId w:val="60"/>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10"/>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0"/>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10"/>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10"/>
        <w:bidi w:val="0"/>
        <w:rPr>
          <w:rFonts w:hint="eastAsia" w:ascii="仿宋" w:hAnsi="仿宋" w:eastAsia="仿宋" w:cs="仿宋"/>
          <w:spacing w:val="0"/>
          <w:sz w:val="21"/>
          <w:szCs w:val="21"/>
        </w:rPr>
      </w:pPr>
    </w:p>
    <w:p>
      <w:pPr>
        <w:pStyle w:val="10"/>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10"/>
        <w:numPr>
          <w:ilvl w:val="0"/>
          <w:numId w:val="61"/>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10"/>
        <w:tabs>
          <w:tab w:val="left" w:pos="6099"/>
          <w:tab w:val="left" w:pos="9339"/>
        </w:tabs>
        <w:spacing w:before="132" w:line="480" w:lineRule="auto"/>
        <w:ind w:left="280" w:right="984"/>
        <w:rPr>
          <w:rFonts w:hint="eastAsia" w:ascii="仿宋" w:hAnsi="仿宋" w:eastAsia="仿宋" w:cs="仿宋"/>
          <w:spacing w:val="0"/>
          <w:sz w:val="21"/>
          <w:szCs w:val="21"/>
        </w:rPr>
      </w:pPr>
    </w:p>
    <w:p>
      <w:pPr>
        <w:pStyle w:val="10"/>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5"/>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10"/>
        <w:numPr>
          <w:ilvl w:val="0"/>
          <w:numId w:val="61"/>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4"/>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4"/>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4"/>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4"/>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4"/>
              <w:spacing w:line="320" w:lineRule="exact"/>
              <w:jc w:val="center"/>
              <w:rPr>
                <w:rFonts w:hint="eastAsia" w:ascii="仿宋" w:hAnsi="仿宋" w:eastAsia="仿宋" w:cs="仿宋"/>
                <w:bCs/>
                <w:color w:val="0000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4"/>
              <w:spacing w:line="320" w:lineRule="exact"/>
              <w:jc w:val="center"/>
              <w:rPr>
                <w:rFonts w:hint="eastAsia" w:ascii="仿宋" w:hAnsi="仿宋" w:eastAsia="仿宋" w:cs="仿宋"/>
                <w:bCs/>
                <w:color w:val="0000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4"/>
              <w:spacing w:line="320" w:lineRule="exact"/>
              <w:jc w:val="center"/>
              <w:rPr>
                <w:rFonts w:hint="eastAsia" w:ascii="仿宋" w:hAnsi="仿宋" w:eastAsia="仿宋" w:cs="仿宋"/>
                <w:color w:val="000000"/>
                <w:highlight w:val="none"/>
              </w:rPr>
            </w:pPr>
          </w:p>
        </w:tc>
        <w:tc>
          <w:tcPr>
            <w:tcW w:w="3045" w:type="dxa"/>
            <w:noWrap w:val="0"/>
            <w:vAlign w:val="center"/>
          </w:tcPr>
          <w:p>
            <w:pPr>
              <w:pStyle w:val="14"/>
              <w:spacing w:line="320" w:lineRule="exact"/>
              <w:jc w:val="center"/>
              <w:rPr>
                <w:rFonts w:hint="eastAsia" w:ascii="仿宋" w:hAnsi="仿宋" w:eastAsia="仿宋" w:cs="仿宋"/>
                <w:color w:val="000000"/>
                <w:highlight w:val="none"/>
              </w:rPr>
            </w:pPr>
          </w:p>
        </w:tc>
        <w:tc>
          <w:tcPr>
            <w:tcW w:w="2436" w:type="dxa"/>
            <w:noWrap w:val="0"/>
            <w:vAlign w:val="center"/>
          </w:tcPr>
          <w:p>
            <w:pPr>
              <w:pStyle w:val="14"/>
              <w:spacing w:line="320" w:lineRule="exact"/>
              <w:jc w:val="center"/>
              <w:rPr>
                <w:rFonts w:hint="eastAsia" w:ascii="仿宋" w:hAnsi="仿宋" w:eastAsia="仿宋" w:cs="仿宋"/>
                <w:color w:val="000000"/>
                <w:highlight w:val="none"/>
              </w:rPr>
            </w:pPr>
          </w:p>
        </w:tc>
        <w:tc>
          <w:tcPr>
            <w:tcW w:w="2278" w:type="dxa"/>
            <w:noWrap w:val="0"/>
            <w:vAlign w:val="center"/>
          </w:tcPr>
          <w:p>
            <w:pPr>
              <w:pStyle w:val="14"/>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4"/>
              <w:spacing w:line="320" w:lineRule="exact"/>
              <w:jc w:val="center"/>
              <w:rPr>
                <w:rFonts w:hint="eastAsia" w:ascii="仿宋" w:hAnsi="仿宋" w:eastAsia="仿宋" w:cs="仿宋"/>
                <w:color w:val="000000"/>
                <w:highlight w:val="none"/>
              </w:rPr>
            </w:pPr>
          </w:p>
        </w:tc>
        <w:tc>
          <w:tcPr>
            <w:tcW w:w="3045" w:type="dxa"/>
            <w:noWrap w:val="0"/>
            <w:vAlign w:val="center"/>
          </w:tcPr>
          <w:p>
            <w:pPr>
              <w:pStyle w:val="14"/>
              <w:spacing w:line="320" w:lineRule="exact"/>
              <w:jc w:val="center"/>
              <w:rPr>
                <w:rFonts w:hint="eastAsia" w:ascii="仿宋" w:hAnsi="仿宋" w:eastAsia="仿宋" w:cs="仿宋"/>
                <w:color w:val="000000"/>
                <w:highlight w:val="none"/>
              </w:rPr>
            </w:pPr>
          </w:p>
        </w:tc>
        <w:tc>
          <w:tcPr>
            <w:tcW w:w="2436" w:type="dxa"/>
            <w:noWrap w:val="0"/>
            <w:vAlign w:val="center"/>
          </w:tcPr>
          <w:p>
            <w:pPr>
              <w:pStyle w:val="14"/>
              <w:spacing w:line="320" w:lineRule="exact"/>
              <w:jc w:val="center"/>
              <w:rPr>
                <w:rFonts w:hint="eastAsia" w:ascii="仿宋" w:hAnsi="仿宋" w:eastAsia="仿宋" w:cs="仿宋"/>
                <w:color w:val="000000"/>
                <w:highlight w:val="none"/>
              </w:rPr>
            </w:pPr>
          </w:p>
        </w:tc>
        <w:tc>
          <w:tcPr>
            <w:tcW w:w="2278" w:type="dxa"/>
            <w:noWrap w:val="0"/>
            <w:vAlign w:val="center"/>
          </w:tcPr>
          <w:p>
            <w:pPr>
              <w:pStyle w:val="14"/>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p>
    <w:p>
      <w:pPr>
        <w:spacing w:line="360" w:lineRule="auto"/>
        <w:rPr>
          <w:rFonts w:hint="eastAsia" w:ascii="仿宋" w:hAnsi="仿宋" w:eastAsia="仿宋" w:cs="仿宋"/>
          <w:b/>
          <w:bCs/>
          <w:color w:val="000000"/>
          <w:sz w:val="24"/>
          <w:highlight w:val="none"/>
        </w:rPr>
      </w:pPr>
    </w:p>
    <w:p>
      <w:pPr>
        <w:pStyle w:val="10"/>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ascii="仿宋" w:hAnsi="仿宋" w:eastAsia="仿宋" w:cs="仿宋"/>
          <w:color w:val="000000"/>
          <w:szCs w:val="21"/>
          <w:highlight w:val="none"/>
          <w:lang w:val="en-US" w:eastAsia="zh-CN"/>
        </w:rPr>
      </w:pPr>
    </w:p>
    <w:p>
      <w:pPr>
        <w:pStyle w:val="3"/>
        <w:keepNext w:val="0"/>
        <w:keepLines w:val="0"/>
        <w:pageBreakBefore w:val="0"/>
        <w:widowControl w:val="0"/>
        <w:numPr>
          <w:ilvl w:val="0"/>
          <w:numId w:val="62"/>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7010"/>
      <w:bookmarkStart w:id="99" w:name="_Toc26057"/>
      <w:r>
        <w:rPr>
          <w:rStyle w:val="37"/>
          <w:rFonts w:hint="eastAsia" w:ascii="宋体" w:hAnsi="宋体" w:eastAsia="宋体" w:cs="宋体"/>
          <w:b/>
          <w:bCs/>
          <w:sz w:val="36"/>
          <w:szCs w:val="36"/>
          <w:lang w:val="en-US" w:eastAsia="zh-CN"/>
        </w:rPr>
        <w:t>供应商认为需要提交的其他资料</w:t>
      </w:r>
      <w:bookmarkEnd w:id="98"/>
      <w:bookmarkEnd w:id="99"/>
    </w:p>
    <w:p>
      <w:pPr>
        <w:pStyle w:val="10"/>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8942"/>
      <w:bookmarkStart w:id="101" w:name="_Toc15368"/>
      <w:r>
        <w:rPr>
          <w:rFonts w:hint="eastAsia" w:ascii="仿宋" w:hAnsi="仿宋" w:eastAsia="仿宋" w:cs="仿宋"/>
          <w:spacing w:val="0"/>
          <w:sz w:val="21"/>
          <w:szCs w:val="21"/>
        </w:rPr>
        <w:t>（请扼要叙述）</w:t>
      </w:r>
      <w:bookmarkEnd w:id="100"/>
      <w:bookmarkEnd w:id="101"/>
    </w:p>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0"/>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10"/>
        <w:rPr>
          <w:rFonts w:hint="eastAsia"/>
          <w:lang w:val="en-US" w:eastAsia="zh-CN"/>
        </w:rPr>
      </w:pPr>
    </w:p>
    <w:p>
      <w:pPr>
        <w:rPr>
          <w:rFonts w:hint="eastAsia"/>
          <w:lang w:val="en-US" w:eastAsia="zh-CN"/>
        </w:rPr>
        <w:sectPr>
          <w:pgSz w:w="11907" w:h="16840"/>
          <w:pgMar w:top="1134" w:right="907" w:bottom="1134" w:left="907"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56523"/>
      <w:bookmarkEnd w:id="102"/>
      <w:bookmarkStart w:id="103" w:name="_Hlt10462379"/>
      <w:bookmarkEnd w:id="103"/>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2"/>
        <w:ind w:left="1268"/>
        <w:jc w:val="center"/>
        <w:outlineLvl w:val="0"/>
        <w:rPr>
          <w:rFonts w:hint="eastAsia" w:ascii="宋体" w:hAnsi="宋体" w:eastAsia="宋体" w:cs="宋体"/>
          <w:spacing w:val="0"/>
        </w:rPr>
      </w:pPr>
      <w:bookmarkStart w:id="104" w:name="_Toc12228"/>
      <w:bookmarkStart w:id="105" w:name="_Toc21251"/>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0028"/>
      <w:bookmarkEnd w:id="106"/>
      <w:bookmarkStart w:id="107" w:name="_Hlt10523647"/>
      <w:bookmarkEnd w:id="107"/>
      <w:bookmarkStart w:id="108" w:name="_Toc4471859"/>
      <w:bookmarkStart w:id="109" w:name="_Toc42956284"/>
    </w:p>
    <w:p>
      <w:pPr>
        <w:pStyle w:val="10"/>
        <w:rPr>
          <w:rFonts w:hint="eastAsia"/>
        </w:rPr>
        <w:sectPr>
          <w:pgSz w:w="11907" w:h="16840"/>
          <w:pgMar w:top="1134" w:right="907" w:bottom="1134" w:left="907" w:header="851" w:footer="851" w:gutter="0"/>
          <w:pgNumType w:fmt="decimal"/>
          <w:cols w:space="720" w:num="1"/>
          <w:docGrid w:linePitch="285" w:charSpace="0"/>
        </w:sectPr>
      </w:pPr>
    </w:p>
    <w:p>
      <w:pPr>
        <w:numPr>
          <w:ilvl w:val="0"/>
          <w:numId w:val="63"/>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3"/>
        <w:keepNext w:val="0"/>
        <w:keepLines w:val="0"/>
        <w:pageBreakBefore w:val="0"/>
        <w:widowControl w:val="0"/>
        <w:numPr>
          <w:ilvl w:val="0"/>
          <w:numId w:val="64"/>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10"/>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10"/>
        <w:rPr>
          <w:rFonts w:hint="eastAsia" w:ascii="仿宋" w:hAnsi="仿宋" w:eastAsia="仿宋" w:cs="仿宋"/>
          <w:b/>
          <w:spacing w:val="0"/>
          <w:sz w:val="21"/>
          <w:szCs w:val="21"/>
        </w:rPr>
      </w:pPr>
    </w:p>
    <w:p>
      <w:pPr>
        <w:pStyle w:val="10"/>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10"/>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0"/>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0"/>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10"/>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907" w:bottom="1134" w:left="907" w:header="851" w:footer="851" w:gutter="0"/>
          <w:pgNumType w:fmt="decimal"/>
          <w:cols w:space="720" w:num="1"/>
          <w:docGrid w:linePitch="285" w:charSpace="0"/>
        </w:sectPr>
      </w:pPr>
    </w:p>
    <w:bookmarkEnd w:id="108"/>
    <w:bookmarkEnd w:id="109"/>
    <w:p>
      <w:pPr>
        <w:pStyle w:val="3"/>
        <w:keepNext w:val="0"/>
        <w:keepLines w:val="0"/>
        <w:pageBreakBefore w:val="0"/>
        <w:widowControl w:val="0"/>
        <w:numPr>
          <w:ilvl w:val="0"/>
          <w:numId w:val="64"/>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0"/>
              <w:bidi w:val="0"/>
              <w:rPr>
                <w:rFonts w:hint="eastAsia" w:ascii="仿宋" w:hAnsi="仿宋" w:eastAsia="仿宋" w:cs="仿宋"/>
                <w:spacing w:val="0"/>
                <w:sz w:val="21"/>
                <w:szCs w:val="21"/>
              </w:rPr>
            </w:pPr>
          </w:p>
        </w:tc>
      </w:tr>
    </w:tbl>
    <w:p>
      <w:pPr>
        <w:pStyle w:val="10"/>
        <w:rPr>
          <w:rFonts w:hint="eastAsia" w:ascii="仿宋" w:hAnsi="仿宋" w:eastAsia="仿宋" w:cs="仿宋"/>
          <w:b/>
          <w:spacing w:val="0"/>
          <w:sz w:val="21"/>
          <w:szCs w:val="21"/>
        </w:rPr>
      </w:pPr>
    </w:p>
    <w:p>
      <w:pPr>
        <w:pStyle w:val="10"/>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0"/>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0"/>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0"/>
        <w:spacing w:before="6" w:line="360" w:lineRule="auto"/>
        <w:rPr>
          <w:rFonts w:hint="eastAsia" w:ascii="仿宋" w:hAnsi="仿宋" w:eastAsia="仿宋" w:cs="仿宋"/>
          <w:spacing w:val="0"/>
          <w:sz w:val="21"/>
          <w:szCs w:val="21"/>
        </w:rPr>
      </w:pPr>
    </w:p>
    <w:p>
      <w:pPr>
        <w:pStyle w:val="10"/>
        <w:spacing w:line="360" w:lineRule="auto"/>
        <w:rPr>
          <w:rFonts w:hint="eastAsia" w:ascii="仿宋" w:hAnsi="仿宋" w:eastAsia="仿宋" w:cs="仿宋"/>
          <w:spacing w:val="0"/>
          <w:sz w:val="21"/>
          <w:szCs w:val="21"/>
        </w:rPr>
      </w:pPr>
    </w:p>
    <w:p>
      <w:pPr>
        <w:pStyle w:val="10"/>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3"/>
        <w:keepNext w:val="0"/>
        <w:keepLines w:val="0"/>
        <w:pageBreakBefore w:val="0"/>
        <w:widowControl w:val="0"/>
        <w:numPr>
          <w:ilvl w:val="0"/>
          <w:numId w:val="64"/>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0"/>
              <w:bidi w:val="0"/>
              <w:rPr>
                <w:rFonts w:hint="eastAsia" w:ascii="仿宋" w:hAnsi="仿宋" w:eastAsia="仿宋" w:cs="仿宋"/>
                <w:b/>
                <w:bCs/>
                <w:spacing w:val="0"/>
                <w:sz w:val="21"/>
                <w:szCs w:val="21"/>
              </w:rPr>
            </w:pPr>
          </w:p>
          <w:p>
            <w:pPr>
              <w:pStyle w:val="10"/>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0"/>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0"/>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0"/>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0"/>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0"/>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10"/>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10"/>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10"/>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10"/>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10"/>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907" w:bottom="1134" w:left="907" w:header="851" w:footer="851" w:gutter="0"/>
          <w:pgNumType w:fmt="decimal"/>
          <w:cols w:space="720" w:num="1"/>
          <w:docGrid w:linePitch="285" w:charSpace="0"/>
        </w:sectPr>
      </w:pPr>
    </w:p>
    <w:p>
      <w:pPr>
        <w:pStyle w:val="14"/>
        <w:spacing w:line="20" w:lineRule="exact"/>
        <w:outlineLvl w:val="9"/>
        <w:rPr>
          <w:rFonts w:hint="eastAsia" w:ascii="仿宋" w:hAnsi="仿宋" w:eastAsia="仿宋" w:cs="仿宋"/>
          <w:color w:val="000000"/>
          <w:highlight w:val="none"/>
        </w:rPr>
      </w:pPr>
    </w:p>
    <w:p>
      <w:pPr>
        <w:numPr>
          <w:ilvl w:val="0"/>
          <w:numId w:val="63"/>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0"/>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10"/>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3"/>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10"/>
        <w:spacing w:before="3"/>
        <w:rPr>
          <w:b/>
          <w:spacing w:val="0"/>
          <w:sz w:val="57"/>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spacing w:line="480" w:lineRule="auto"/>
        <w:rPr>
          <w:b/>
          <w:spacing w:val="0"/>
          <w:sz w:val="57"/>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bidi w:val="0"/>
        <w:spacing w:line="480" w:lineRule="auto"/>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服务方案须包括但不限于以下内容，主要根据采购项目的要求制定(格式自定)。</w:t>
      </w:r>
    </w:p>
    <w:p>
      <w:pPr>
        <w:pStyle w:val="10"/>
        <w:spacing w:line="480" w:lineRule="auto"/>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1、项目整体安排方案;</w:t>
      </w:r>
    </w:p>
    <w:p>
      <w:pPr>
        <w:pStyle w:val="10"/>
        <w:spacing w:line="480" w:lineRule="auto"/>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2、项目进度计划;</w:t>
      </w:r>
    </w:p>
    <w:p>
      <w:pPr>
        <w:pStyle w:val="10"/>
        <w:spacing w:line="480" w:lineRule="auto"/>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3、服务保障体系:</w:t>
      </w:r>
    </w:p>
    <w:p>
      <w:pPr>
        <w:pStyle w:val="10"/>
        <w:spacing w:line="480" w:lineRule="auto"/>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4、后续服务方案。</w:t>
      </w:r>
    </w:p>
    <w:p>
      <w:pPr>
        <w:pStyle w:val="10"/>
        <w:bidi w:val="0"/>
        <w:spacing w:line="480" w:lineRule="auto"/>
        <w:rPr>
          <w:rFonts w:hint="eastAsia" w:ascii="仿宋" w:hAnsi="仿宋" w:eastAsia="仿宋" w:cs="仿宋"/>
          <w:b/>
          <w:bCs/>
          <w:spacing w:val="0"/>
          <w:sz w:val="21"/>
          <w:szCs w:val="21"/>
          <w:lang w:val="zh-CN" w:eastAsia="zh-CN" w:bidi="zh-CN"/>
        </w:rPr>
      </w:pPr>
    </w:p>
    <w:p>
      <w:pPr>
        <w:pStyle w:val="14"/>
        <w:spacing w:line="48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10"/>
        <w:rPr>
          <w:rFonts w:hint="eastAsia" w:ascii="仿宋" w:hAnsi="仿宋" w:eastAsia="仿宋" w:cs="仿宋"/>
          <w:b/>
          <w:spacing w:val="0"/>
          <w:sz w:val="21"/>
          <w:szCs w:val="21"/>
        </w:rPr>
      </w:pPr>
    </w:p>
    <w:p>
      <w:pPr>
        <w:pStyle w:val="10"/>
        <w:rPr>
          <w:rFonts w:hint="eastAsia" w:ascii="仿宋" w:hAnsi="仿宋" w:eastAsia="仿宋" w:cs="仿宋"/>
          <w:b/>
          <w:spacing w:val="0"/>
          <w:sz w:val="21"/>
          <w:szCs w:val="21"/>
        </w:rPr>
      </w:pPr>
    </w:p>
    <w:p>
      <w:pPr>
        <w:pStyle w:val="10"/>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6"/>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新兴县车管所门口段(二十四米规划路)路面硬底化工程                                       项目编号：GDZZ-2024-03-01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新兴县车管所门口段(二十四米规划路)路面硬底化工程                                       项目编号：GDZZ-2024-03-01</w:t>
    </w:r>
  </w:p>
  <w:p>
    <w:pPr>
      <w:pStyle w:val="1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C545"/>
    <w:multiLevelType w:val="singleLevel"/>
    <w:tmpl w:val="817CC545"/>
    <w:lvl w:ilvl="0" w:tentative="0">
      <w:start w:val="1"/>
      <w:numFmt w:val="decimal"/>
      <w:lvlText w:val="%1."/>
      <w:lvlJc w:val="left"/>
      <w:pPr>
        <w:tabs>
          <w:tab w:val="left" w:pos="420"/>
        </w:tabs>
        <w:ind w:left="845" w:hanging="425"/>
      </w:pPr>
      <w:rPr>
        <w:rFonts w:hint="default"/>
      </w:rPr>
    </w:lvl>
  </w:abstractNum>
  <w:abstractNum w:abstractNumId="1">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3">
    <w:nsid w:val="96417985"/>
    <w:multiLevelType w:val="singleLevel"/>
    <w:tmpl w:val="96417985"/>
    <w:lvl w:ilvl="0" w:tentative="0">
      <w:start w:val="1"/>
      <w:numFmt w:val="decimal"/>
      <w:lvlText w:val="(%1)"/>
      <w:lvlJc w:val="left"/>
      <w:pPr>
        <w:ind w:left="425" w:hanging="425"/>
      </w:pPr>
      <w:rPr>
        <w:rFonts w:hint="default"/>
      </w:rPr>
    </w:lvl>
  </w:abstractNum>
  <w:abstractNum w:abstractNumId="4">
    <w:nsid w:val="98FBACDA"/>
    <w:multiLevelType w:val="singleLevel"/>
    <w:tmpl w:val="98FBACDA"/>
    <w:lvl w:ilvl="0" w:tentative="0">
      <w:start w:val="1"/>
      <w:numFmt w:val="decimal"/>
      <w:suff w:val="nothing"/>
      <w:lvlText w:val="%1."/>
      <w:lvlJc w:val="left"/>
      <w:pPr>
        <w:ind w:left="1685" w:hanging="425"/>
      </w:pPr>
      <w:rPr>
        <w:rFonts w:hint="default"/>
      </w:rPr>
    </w:lvl>
  </w:abstractNum>
  <w:abstractNum w:abstractNumId="5">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6">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7">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8">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9">
    <w:nsid w:val="A9E3E022"/>
    <w:multiLevelType w:val="singleLevel"/>
    <w:tmpl w:val="A9E3E022"/>
    <w:lvl w:ilvl="0" w:tentative="0">
      <w:start w:val="1"/>
      <w:numFmt w:val="decimal"/>
      <w:lvlText w:val="(%1)"/>
      <w:lvlJc w:val="left"/>
      <w:pPr>
        <w:ind w:left="425" w:hanging="425"/>
      </w:pPr>
      <w:rPr>
        <w:rFonts w:hint="default"/>
      </w:rPr>
    </w:lvl>
  </w:abstractNum>
  <w:abstractNum w:abstractNumId="10">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1">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2">
    <w:nsid w:val="ADED704D"/>
    <w:multiLevelType w:val="singleLevel"/>
    <w:tmpl w:val="ADED704D"/>
    <w:lvl w:ilvl="0" w:tentative="0">
      <w:start w:val="1"/>
      <w:numFmt w:val="decimal"/>
      <w:lvlText w:val="%1."/>
      <w:lvlJc w:val="left"/>
      <w:pPr>
        <w:ind w:left="425" w:hanging="425"/>
      </w:pPr>
      <w:rPr>
        <w:rFonts w:hint="default"/>
      </w:rPr>
    </w:lvl>
  </w:abstractNum>
  <w:abstractNum w:abstractNumId="13">
    <w:nsid w:val="AF27CE9B"/>
    <w:multiLevelType w:val="singleLevel"/>
    <w:tmpl w:val="AF27CE9B"/>
    <w:lvl w:ilvl="0" w:tentative="0">
      <w:start w:val="1"/>
      <w:numFmt w:val="decimal"/>
      <w:lvlText w:val="(%1)"/>
      <w:lvlJc w:val="left"/>
      <w:pPr>
        <w:ind w:left="425" w:hanging="425"/>
      </w:pPr>
      <w:rPr>
        <w:rFonts w:hint="default"/>
      </w:rPr>
    </w:lvl>
  </w:abstractNum>
  <w:abstractNum w:abstractNumId="14">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5">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6">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7">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8">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9">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0">
    <w:nsid w:val="CCE8E5A6"/>
    <w:multiLevelType w:val="singleLevel"/>
    <w:tmpl w:val="CCE8E5A6"/>
    <w:lvl w:ilvl="0" w:tentative="0">
      <w:start w:val="1"/>
      <w:numFmt w:val="decimal"/>
      <w:lvlText w:val="%1)"/>
      <w:lvlJc w:val="left"/>
      <w:pPr>
        <w:tabs>
          <w:tab w:val="left" w:pos="420"/>
        </w:tabs>
        <w:ind w:left="845" w:hanging="425"/>
      </w:pPr>
      <w:rPr>
        <w:rFonts w:hint="default"/>
      </w:rPr>
    </w:lvl>
  </w:abstractNum>
  <w:abstractNum w:abstractNumId="21">
    <w:nsid w:val="CE365670"/>
    <w:multiLevelType w:val="singleLevel"/>
    <w:tmpl w:val="CE365670"/>
    <w:lvl w:ilvl="0" w:tentative="0">
      <w:start w:val="1"/>
      <w:numFmt w:val="decimal"/>
      <w:lvlText w:val="%1)"/>
      <w:lvlJc w:val="left"/>
      <w:pPr>
        <w:tabs>
          <w:tab w:val="left" w:pos="420"/>
        </w:tabs>
        <w:ind w:left="845" w:hanging="425"/>
      </w:pPr>
      <w:rPr>
        <w:rFonts w:hint="default"/>
      </w:rPr>
    </w:lvl>
  </w:abstractNum>
  <w:abstractNum w:abstractNumId="22">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3">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4">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5">
    <w:nsid w:val="E26CD4C7"/>
    <w:multiLevelType w:val="singleLevel"/>
    <w:tmpl w:val="E26CD4C7"/>
    <w:lvl w:ilvl="0" w:tentative="0">
      <w:start w:val="1"/>
      <w:numFmt w:val="decimal"/>
      <w:lvlText w:val="%1."/>
      <w:lvlJc w:val="left"/>
      <w:pPr>
        <w:ind w:left="425" w:hanging="425"/>
      </w:pPr>
      <w:rPr>
        <w:rFonts w:hint="default"/>
      </w:rPr>
    </w:lvl>
  </w:abstractNum>
  <w:abstractNum w:abstractNumId="26">
    <w:nsid w:val="E9121540"/>
    <w:multiLevelType w:val="singleLevel"/>
    <w:tmpl w:val="E9121540"/>
    <w:lvl w:ilvl="0" w:tentative="0">
      <w:start w:val="1"/>
      <w:numFmt w:val="decimal"/>
      <w:lvlText w:val="(%1)"/>
      <w:lvlJc w:val="left"/>
      <w:pPr>
        <w:ind w:left="425" w:hanging="425"/>
      </w:pPr>
      <w:rPr>
        <w:rFonts w:hint="default"/>
      </w:rPr>
    </w:lvl>
  </w:abstractNum>
  <w:abstractNum w:abstractNumId="27">
    <w:nsid w:val="EAFDAF18"/>
    <w:multiLevelType w:val="singleLevel"/>
    <w:tmpl w:val="EAFDAF18"/>
    <w:lvl w:ilvl="0" w:tentative="0">
      <w:start w:val="1"/>
      <w:numFmt w:val="decimal"/>
      <w:suff w:val="nothing"/>
      <w:lvlText w:val="%1、"/>
      <w:lvlJc w:val="left"/>
    </w:lvl>
  </w:abstractNum>
  <w:abstractNum w:abstractNumId="28">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9">
    <w:nsid w:val="ED81463C"/>
    <w:multiLevelType w:val="singleLevel"/>
    <w:tmpl w:val="ED81463C"/>
    <w:lvl w:ilvl="0" w:tentative="0">
      <w:start w:val="1"/>
      <w:numFmt w:val="decimal"/>
      <w:suff w:val="nothing"/>
      <w:lvlText w:val="%1."/>
      <w:lvlJc w:val="left"/>
      <w:pPr>
        <w:ind w:left="845" w:hanging="425"/>
      </w:pPr>
      <w:rPr>
        <w:rFonts w:hint="default"/>
      </w:rPr>
    </w:lvl>
  </w:abstractNum>
  <w:abstractNum w:abstractNumId="30">
    <w:nsid w:val="F46B7D1C"/>
    <w:multiLevelType w:val="singleLevel"/>
    <w:tmpl w:val="F46B7D1C"/>
    <w:lvl w:ilvl="0" w:tentative="0">
      <w:start w:val="1"/>
      <w:numFmt w:val="decimal"/>
      <w:suff w:val="nothing"/>
      <w:lvlText w:val="%1）"/>
      <w:lvlJc w:val="left"/>
    </w:lvl>
  </w:abstractNum>
  <w:abstractNum w:abstractNumId="31">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2">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3">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4">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35">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6">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37">
    <w:nsid w:val="205FA825"/>
    <w:multiLevelType w:val="singleLevel"/>
    <w:tmpl w:val="205FA825"/>
    <w:lvl w:ilvl="0" w:tentative="0">
      <w:start w:val="2"/>
      <w:numFmt w:val="chineseCounting"/>
      <w:suff w:val="space"/>
      <w:lvlText w:val="第%1部分"/>
      <w:lvlJc w:val="left"/>
      <w:rPr>
        <w:rFonts w:hint="eastAsia"/>
      </w:rPr>
    </w:lvl>
  </w:abstractNum>
  <w:abstractNum w:abstractNumId="38">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39">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0">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highlight w:val="none"/>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1">
    <w:nsid w:val="2B7DA756"/>
    <w:multiLevelType w:val="singleLevel"/>
    <w:tmpl w:val="2B7DA756"/>
    <w:lvl w:ilvl="0" w:tentative="0">
      <w:start w:val="1"/>
      <w:numFmt w:val="decimal"/>
      <w:suff w:val="nothing"/>
      <w:lvlText w:val="%1."/>
      <w:lvlJc w:val="left"/>
      <w:pPr>
        <w:ind w:left="454" w:leftChars="0" w:hanging="454" w:firstLineChars="0"/>
      </w:pPr>
      <w:rPr>
        <w:rFonts w:hint="default"/>
      </w:rPr>
    </w:lvl>
  </w:abstractNum>
  <w:abstractNum w:abstractNumId="42">
    <w:nsid w:val="2D7440CA"/>
    <w:multiLevelType w:val="singleLevel"/>
    <w:tmpl w:val="2D7440CA"/>
    <w:lvl w:ilvl="0" w:tentative="0">
      <w:start w:val="3"/>
      <w:numFmt w:val="decimal"/>
      <w:suff w:val="nothing"/>
      <w:lvlText w:val="%1、"/>
      <w:lvlJc w:val="left"/>
    </w:lvl>
  </w:abstractNum>
  <w:abstractNum w:abstractNumId="43">
    <w:nsid w:val="2EA08708"/>
    <w:multiLevelType w:val="singleLevel"/>
    <w:tmpl w:val="2EA08708"/>
    <w:lvl w:ilvl="0" w:tentative="0">
      <w:start w:val="1"/>
      <w:numFmt w:val="decimal"/>
      <w:suff w:val="nothing"/>
      <w:lvlText w:val="%1、"/>
      <w:lvlJc w:val="left"/>
    </w:lvl>
  </w:abstractNum>
  <w:abstractNum w:abstractNumId="44">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5">
    <w:nsid w:val="3702A3A3"/>
    <w:multiLevelType w:val="singleLevel"/>
    <w:tmpl w:val="3702A3A3"/>
    <w:lvl w:ilvl="0" w:tentative="0">
      <w:start w:val="1"/>
      <w:numFmt w:val="chineseCounting"/>
      <w:suff w:val="nothing"/>
      <w:lvlText w:val="%1、"/>
      <w:lvlJc w:val="left"/>
      <w:rPr>
        <w:rFonts w:hint="eastAsia"/>
      </w:rPr>
    </w:lvl>
  </w:abstractNum>
  <w:abstractNum w:abstractNumId="46">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7">
    <w:nsid w:val="3B1E1543"/>
    <w:multiLevelType w:val="singleLevel"/>
    <w:tmpl w:val="3B1E1543"/>
    <w:lvl w:ilvl="0" w:tentative="0">
      <w:start w:val="1"/>
      <w:numFmt w:val="decimal"/>
      <w:lvlText w:val="(%1)"/>
      <w:lvlJc w:val="left"/>
      <w:pPr>
        <w:ind w:left="425" w:hanging="425"/>
      </w:pPr>
      <w:rPr>
        <w:rFonts w:hint="default"/>
      </w:rPr>
    </w:lvl>
  </w:abstractNum>
  <w:abstractNum w:abstractNumId="48">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9">
    <w:nsid w:val="40EB65EB"/>
    <w:multiLevelType w:val="singleLevel"/>
    <w:tmpl w:val="40EB65EB"/>
    <w:lvl w:ilvl="0" w:tentative="0">
      <w:start w:val="1"/>
      <w:numFmt w:val="decimal"/>
      <w:suff w:val="nothing"/>
      <w:lvlText w:val="%1、"/>
      <w:lvlJc w:val="left"/>
    </w:lvl>
  </w:abstractNum>
  <w:abstractNum w:abstractNumId="50">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1">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2">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3">
    <w:nsid w:val="54E57D58"/>
    <w:multiLevelType w:val="singleLevel"/>
    <w:tmpl w:val="54E57D58"/>
    <w:lvl w:ilvl="0" w:tentative="0">
      <w:start w:val="1"/>
      <w:numFmt w:val="chineseCounting"/>
      <w:suff w:val="space"/>
      <w:lvlText w:val="%1、"/>
      <w:lvlJc w:val="left"/>
      <w:rPr>
        <w:rFonts w:hint="eastAsia"/>
      </w:rPr>
    </w:lvl>
  </w:abstractNum>
  <w:abstractNum w:abstractNumId="54">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5">
    <w:nsid w:val="5CB12905"/>
    <w:multiLevelType w:val="singleLevel"/>
    <w:tmpl w:val="5CB12905"/>
    <w:lvl w:ilvl="0" w:tentative="0">
      <w:start w:val="1"/>
      <w:numFmt w:val="decimal"/>
      <w:suff w:val="nothing"/>
      <w:lvlText w:val="%1、"/>
      <w:lvlJc w:val="left"/>
    </w:lvl>
  </w:abstractNum>
  <w:abstractNum w:abstractNumId="56">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57">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58">
    <w:nsid w:val="6BBA9134"/>
    <w:multiLevelType w:val="singleLevel"/>
    <w:tmpl w:val="6BBA9134"/>
    <w:lvl w:ilvl="0" w:tentative="0">
      <w:start w:val="1"/>
      <w:numFmt w:val="decimal"/>
      <w:suff w:val="nothing"/>
      <w:lvlText w:val="%1、"/>
      <w:lvlJc w:val="left"/>
    </w:lvl>
  </w:abstractNum>
  <w:abstractNum w:abstractNumId="59">
    <w:nsid w:val="6F7393ED"/>
    <w:multiLevelType w:val="singleLevel"/>
    <w:tmpl w:val="6F7393ED"/>
    <w:lvl w:ilvl="0" w:tentative="0">
      <w:start w:val="1"/>
      <w:numFmt w:val="decimal"/>
      <w:suff w:val="nothing"/>
      <w:lvlText w:val="%1、"/>
      <w:lvlJc w:val="left"/>
    </w:lvl>
  </w:abstractNum>
  <w:abstractNum w:abstractNumId="60">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1">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2">
    <w:nsid w:val="72DA93C9"/>
    <w:multiLevelType w:val="singleLevel"/>
    <w:tmpl w:val="72DA93C9"/>
    <w:lvl w:ilvl="0" w:tentative="0">
      <w:start w:val="1"/>
      <w:numFmt w:val="decimal"/>
      <w:suff w:val="nothing"/>
      <w:lvlText w:val="%1、"/>
      <w:lvlJc w:val="left"/>
    </w:lvl>
  </w:abstractNum>
  <w:abstractNum w:abstractNumId="63">
    <w:nsid w:val="7B73BFB9"/>
    <w:multiLevelType w:val="singleLevel"/>
    <w:tmpl w:val="7B73BFB9"/>
    <w:lvl w:ilvl="0" w:tentative="0">
      <w:start w:val="1"/>
      <w:numFmt w:val="decimal"/>
      <w:lvlText w:val="%1)"/>
      <w:lvlJc w:val="left"/>
      <w:pPr>
        <w:tabs>
          <w:tab w:val="left" w:pos="420"/>
        </w:tabs>
        <w:ind w:left="845" w:hanging="425"/>
      </w:pPr>
      <w:rPr>
        <w:rFonts w:hint="default"/>
      </w:rPr>
    </w:lvl>
  </w:abstractNum>
  <w:abstractNum w:abstractNumId="64">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45"/>
  </w:num>
  <w:num w:numId="2">
    <w:abstractNumId w:val="46"/>
  </w:num>
  <w:num w:numId="3">
    <w:abstractNumId w:val="48"/>
  </w:num>
  <w:num w:numId="4">
    <w:abstractNumId w:val="13"/>
  </w:num>
  <w:num w:numId="5">
    <w:abstractNumId w:val="47"/>
  </w:num>
  <w:num w:numId="6">
    <w:abstractNumId w:val="52"/>
  </w:num>
  <w:num w:numId="7">
    <w:abstractNumId w:val="11"/>
  </w:num>
  <w:num w:numId="8">
    <w:abstractNumId w:val="32"/>
  </w:num>
  <w:num w:numId="9">
    <w:abstractNumId w:val="37"/>
  </w:num>
  <w:num w:numId="10">
    <w:abstractNumId w:val="0"/>
  </w:num>
  <w:num w:numId="11">
    <w:abstractNumId w:val="63"/>
  </w:num>
  <w:num w:numId="12">
    <w:abstractNumId w:val="20"/>
  </w:num>
  <w:num w:numId="13">
    <w:abstractNumId w:val="21"/>
  </w:num>
  <w:num w:numId="14">
    <w:abstractNumId w:val="43"/>
  </w:num>
  <w:num w:numId="15">
    <w:abstractNumId w:val="27"/>
  </w:num>
  <w:num w:numId="16">
    <w:abstractNumId w:val="58"/>
  </w:num>
  <w:num w:numId="17">
    <w:abstractNumId w:val="55"/>
  </w:num>
  <w:num w:numId="18">
    <w:abstractNumId w:val="29"/>
  </w:num>
  <w:num w:numId="19">
    <w:abstractNumId w:val="50"/>
  </w:num>
  <w:num w:numId="20">
    <w:abstractNumId w:val="4"/>
  </w:num>
  <w:num w:numId="21">
    <w:abstractNumId w:val="62"/>
  </w:num>
  <w:num w:numId="22">
    <w:abstractNumId w:val="51"/>
  </w:num>
  <w:num w:numId="23">
    <w:abstractNumId w:val="40"/>
  </w:num>
  <w:num w:numId="24">
    <w:abstractNumId w:val="54"/>
  </w:num>
  <w:num w:numId="25">
    <w:abstractNumId w:val="1"/>
  </w:num>
  <w:num w:numId="26">
    <w:abstractNumId w:val="18"/>
  </w:num>
  <w:num w:numId="27">
    <w:abstractNumId w:val="44"/>
  </w:num>
  <w:num w:numId="28">
    <w:abstractNumId w:val="22"/>
  </w:num>
  <w:num w:numId="29">
    <w:abstractNumId w:val="35"/>
  </w:num>
  <w:num w:numId="30">
    <w:abstractNumId w:val="33"/>
  </w:num>
  <w:num w:numId="31">
    <w:abstractNumId w:val="24"/>
  </w:num>
  <w:num w:numId="32">
    <w:abstractNumId w:val="23"/>
  </w:num>
  <w:num w:numId="33">
    <w:abstractNumId w:val="10"/>
  </w:num>
  <w:num w:numId="34">
    <w:abstractNumId w:val="6"/>
  </w:num>
  <w:num w:numId="35">
    <w:abstractNumId w:val="31"/>
  </w:num>
  <w:num w:numId="36">
    <w:abstractNumId w:val="60"/>
  </w:num>
  <w:num w:numId="37">
    <w:abstractNumId w:val="56"/>
  </w:num>
  <w:num w:numId="38">
    <w:abstractNumId w:val="14"/>
  </w:num>
  <w:num w:numId="39">
    <w:abstractNumId w:val="39"/>
  </w:num>
  <w:num w:numId="40">
    <w:abstractNumId w:val="30"/>
  </w:num>
  <w:num w:numId="41">
    <w:abstractNumId w:val="7"/>
  </w:num>
  <w:num w:numId="42">
    <w:abstractNumId w:val="61"/>
  </w:num>
  <w:num w:numId="43">
    <w:abstractNumId w:val="38"/>
  </w:num>
  <w:num w:numId="44">
    <w:abstractNumId w:val="64"/>
  </w:num>
  <w:num w:numId="45">
    <w:abstractNumId w:val="16"/>
  </w:num>
  <w:num w:numId="46">
    <w:abstractNumId w:val="19"/>
  </w:num>
  <w:num w:numId="47">
    <w:abstractNumId w:val="42"/>
  </w:num>
  <w:num w:numId="48">
    <w:abstractNumId w:val="36"/>
  </w:num>
  <w:num w:numId="49">
    <w:abstractNumId w:val="8"/>
  </w:num>
  <w:num w:numId="50">
    <w:abstractNumId w:val="15"/>
  </w:num>
  <w:num w:numId="51">
    <w:abstractNumId w:val="34"/>
  </w:num>
  <w:num w:numId="52">
    <w:abstractNumId w:val="53"/>
  </w:num>
  <w:num w:numId="53">
    <w:abstractNumId w:val="41"/>
  </w:num>
  <w:num w:numId="54">
    <w:abstractNumId w:val="25"/>
  </w:num>
  <w:num w:numId="55">
    <w:abstractNumId w:val="2"/>
  </w:num>
  <w:num w:numId="56">
    <w:abstractNumId w:val="57"/>
  </w:num>
  <w:num w:numId="57">
    <w:abstractNumId w:val="26"/>
  </w:num>
  <w:num w:numId="58">
    <w:abstractNumId w:val="59"/>
  </w:num>
  <w:num w:numId="59">
    <w:abstractNumId w:val="28"/>
  </w:num>
  <w:num w:numId="60">
    <w:abstractNumId w:val="9"/>
  </w:num>
  <w:num w:numId="61">
    <w:abstractNumId w:val="5"/>
  </w:num>
  <w:num w:numId="62">
    <w:abstractNumId w:val="17"/>
  </w:num>
  <w:num w:numId="63">
    <w:abstractNumId w:val="12"/>
  </w:num>
  <w:num w:numId="64">
    <w:abstractNumId w:val="3"/>
  </w:num>
  <w:num w:numId="6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0F176C"/>
    <w:rsid w:val="00166FC7"/>
    <w:rsid w:val="006A199A"/>
    <w:rsid w:val="00CE04AD"/>
    <w:rsid w:val="00D415A0"/>
    <w:rsid w:val="010371A3"/>
    <w:rsid w:val="013A69DB"/>
    <w:rsid w:val="01467499"/>
    <w:rsid w:val="015B486D"/>
    <w:rsid w:val="016F0336"/>
    <w:rsid w:val="01726A32"/>
    <w:rsid w:val="018628E1"/>
    <w:rsid w:val="01D57CD1"/>
    <w:rsid w:val="01DC2F7B"/>
    <w:rsid w:val="023F03F7"/>
    <w:rsid w:val="025523E3"/>
    <w:rsid w:val="02847105"/>
    <w:rsid w:val="02BA3AFD"/>
    <w:rsid w:val="02DA1F3A"/>
    <w:rsid w:val="02DE7DA1"/>
    <w:rsid w:val="02E70BBD"/>
    <w:rsid w:val="02EA3D98"/>
    <w:rsid w:val="02F9237F"/>
    <w:rsid w:val="03390216"/>
    <w:rsid w:val="03927943"/>
    <w:rsid w:val="03A40EB6"/>
    <w:rsid w:val="040E0FB3"/>
    <w:rsid w:val="04477AA3"/>
    <w:rsid w:val="046248DD"/>
    <w:rsid w:val="04795896"/>
    <w:rsid w:val="0482206B"/>
    <w:rsid w:val="049C7DEF"/>
    <w:rsid w:val="04C8166E"/>
    <w:rsid w:val="04D473B5"/>
    <w:rsid w:val="050F3E5E"/>
    <w:rsid w:val="05164A87"/>
    <w:rsid w:val="052E780F"/>
    <w:rsid w:val="052F4768"/>
    <w:rsid w:val="054E05F3"/>
    <w:rsid w:val="054E1E94"/>
    <w:rsid w:val="058060BB"/>
    <w:rsid w:val="05A05163"/>
    <w:rsid w:val="05AC6FA7"/>
    <w:rsid w:val="05D93092"/>
    <w:rsid w:val="05F12E71"/>
    <w:rsid w:val="05F56DBC"/>
    <w:rsid w:val="06226143"/>
    <w:rsid w:val="06613AC6"/>
    <w:rsid w:val="066B025D"/>
    <w:rsid w:val="067E540B"/>
    <w:rsid w:val="068A52EB"/>
    <w:rsid w:val="068C79EB"/>
    <w:rsid w:val="06BC2E5D"/>
    <w:rsid w:val="06BC3996"/>
    <w:rsid w:val="06ED4102"/>
    <w:rsid w:val="06F707BA"/>
    <w:rsid w:val="071A70E8"/>
    <w:rsid w:val="072B5213"/>
    <w:rsid w:val="075723EF"/>
    <w:rsid w:val="07623D38"/>
    <w:rsid w:val="076A1FF8"/>
    <w:rsid w:val="077D6664"/>
    <w:rsid w:val="07A20A9B"/>
    <w:rsid w:val="07B50FB1"/>
    <w:rsid w:val="07C214D7"/>
    <w:rsid w:val="07C84A57"/>
    <w:rsid w:val="07CA4C73"/>
    <w:rsid w:val="07D6526C"/>
    <w:rsid w:val="07F558FB"/>
    <w:rsid w:val="07FF586C"/>
    <w:rsid w:val="07FF6655"/>
    <w:rsid w:val="080F65E1"/>
    <w:rsid w:val="08122176"/>
    <w:rsid w:val="081D1247"/>
    <w:rsid w:val="08404F36"/>
    <w:rsid w:val="084F3FC0"/>
    <w:rsid w:val="08583A17"/>
    <w:rsid w:val="08587B40"/>
    <w:rsid w:val="0882539D"/>
    <w:rsid w:val="08B31F98"/>
    <w:rsid w:val="08D5567E"/>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A20225"/>
    <w:rsid w:val="0AA33E79"/>
    <w:rsid w:val="0AAB7DB1"/>
    <w:rsid w:val="0AB81E6D"/>
    <w:rsid w:val="0AD975C5"/>
    <w:rsid w:val="0AEC1604"/>
    <w:rsid w:val="0B455E22"/>
    <w:rsid w:val="0B7466D9"/>
    <w:rsid w:val="0B892750"/>
    <w:rsid w:val="0B8D771D"/>
    <w:rsid w:val="0B967186"/>
    <w:rsid w:val="0BB8294D"/>
    <w:rsid w:val="0BBD4714"/>
    <w:rsid w:val="0BC639A4"/>
    <w:rsid w:val="0BCD051B"/>
    <w:rsid w:val="0BF128CA"/>
    <w:rsid w:val="0C083C74"/>
    <w:rsid w:val="0C1022FF"/>
    <w:rsid w:val="0C1069CD"/>
    <w:rsid w:val="0C3158EE"/>
    <w:rsid w:val="0CBF681E"/>
    <w:rsid w:val="0CF77C56"/>
    <w:rsid w:val="0D1C45FA"/>
    <w:rsid w:val="0D6057B6"/>
    <w:rsid w:val="0D9B74B7"/>
    <w:rsid w:val="0DCA3A13"/>
    <w:rsid w:val="0E1E0839"/>
    <w:rsid w:val="0E440BB0"/>
    <w:rsid w:val="0E514B3B"/>
    <w:rsid w:val="0E8042DE"/>
    <w:rsid w:val="0E9175B2"/>
    <w:rsid w:val="0EB06F72"/>
    <w:rsid w:val="0EB10DEE"/>
    <w:rsid w:val="0F15264F"/>
    <w:rsid w:val="0F1662A8"/>
    <w:rsid w:val="0F225395"/>
    <w:rsid w:val="0F4205A2"/>
    <w:rsid w:val="0F754A5C"/>
    <w:rsid w:val="0FA31BD0"/>
    <w:rsid w:val="0FAC1FD4"/>
    <w:rsid w:val="0FC95811"/>
    <w:rsid w:val="0FE45058"/>
    <w:rsid w:val="10256788"/>
    <w:rsid w:val="105A183A"/>
    <w:rsid w:val="10615A49"/>
    <w:rsid w:val="10634285"/>
    <w:rsid w:val="108666F5"/>
    <w:rsid w:val="10D35CED"/>
    <w:rsid w:val="10E91988"/>
    <w:rsid w:val="10E94C5F"/>
    <w:rsid w:val="10F92125"/>
    <w:rsid w:val="115A2E7B"/>
    <w:rsid w:val="1196441C"/>
    <w:rsid w:val="11A17923"/>
    <w:rsid w:val="11A656B7"/>
    <w:rsid w:val="11DA528C"/>
    <w:rsid w:val="11E903EC"/>
    <w:rsid w:val="120168DD"/>
    <w:rsid w:val="12167A4D"/>
    <w:rsid w:val="125D719A"/>
    <w:rsid w:val="126E1C0F"/>
    <w:rsid w:val="127C252D"/>
    <w:rsid w:val="12817903"/>
    <w:rsid w:val="12910C6D"/>
    <w:rsid w:val="129A2723"/>
    <w:rsid w:val="12A87EDE"/>
    <w:rsid w:val="12AA6A4D"/>
    <w:rsid w:val="13252E99"/>
    <w:rsid w:val="133A404D"/>
    <w:rsid w:val="13512764"/>
    <w:rsid w:val="13B3160E"/>
    <w:rsid w:val="13C87773"/>
    <w:rsid w:val="14183946"/>
    <w:rsid w:val="144B0EEA"/>
    <w:rsid w:val="147F2BA1"/>
    <w:rsid w:val="14A02886"/>
    <w:rsid w:val="14AD5701"/>
    <w:rsid w:val="14B33EF7"/>
    <w:rsid w:val="14B9353A"/>
    <w:rsid w:val="14F2219A"/>
    <w:rsid w:val="152B2D87"/>
    <w:rsid w:val="153B0F5F"/>
    <w:rsid w:val="156D1D9D"/>
    <w:rsid w:val="15C64A95"/>
    <w:rsid w:val="15C75949"/>
    <w:rsid w:val="15D16880"/>
    <w:rsid w:val="15FB15F1"/>
    <w:rsid w:val="16095600"/>
    <w:rsid w:val="1624418C"/>
    <w:rsid w:val="166A4586"/>
    <w:rsid w:val="16FB68EE"/>
    <w:rsid w:val="17271C14"/>
    <w:rsid w:val="172D64A6"/>
    <w:rsid w:val="176B096F"/>
    <w:rsid w:val="1774042C"/>
    <w:rsid w:val="1799794D"/>
    <w:rsid w:val="17DE7CCD"/>
    <w:rsid w:val="17EC4792"/>
    <w:rsid w:val="189664AC"/>
    <w:rsid w:val="18D2702C"/>
    <w:rsid w:val="18EE443D"/>
    <w:rsid w:val="193B287C"/>
    <w:rsid w:val="19422845"/>
    <w:rsid w:val="19547DD7"/>
    <w:rsid w:val="19732D86"/>
    <w:rsid w:val="197B7685"/>
    <w:rsid w:val="19815ED0"/>
    <w:rsid w:val="198968AC"/>
    <w:rsid w:val="1A015D5B"/>
    <w:rsid w:val="1A232849"/>
    <w:rsid w:val="1A394300"/>
    <w:rsid w:val="1A3C25B8"/>
    <w:rsid w:val="1A4375A3"/>
    <w:rsid w:val="1A595D79"/>
    <w:rsid w:val="1A5C2C40"/>
    <w:rsid w:val="1A7871D0"/>
    <w:rsid w:val="1A862A52"/>
    <w:rsid w:val="1A9409D5"/>
    <w:rsid w:val="1A94777B"/>
    <w:rsid w:val="1ADC7142"/>
    <w:rsid w:val="1ADC772A"/>
    <w:rsid w:val="1AE37C4E"/>
    <w:rsid w:val="1B214D36"/>
    <w:rsid w:val="1B2D1349"/>
    <w:rsid w:val="1B897F89"/>
    <w:rsid w:val="1BD606F5"/>
    <w:rsid w:val="1BE773AC"/>
    <w:rsid w:val="1BEF0186"/>
    <w:rsid w:val="1C1925FB"/>
    <w:rsid w:val="1C277D3D"/>
    <w:rsid w:val="1C2941AA"/>
    <w:rsid w:val="1C3A1EE3"/>
    <w:rsid w:val="1C4E641D"/>
    <w:rsid w:val="1C603956"/>
    <w:rsid w:val="1C746D29"/>
    <w:rsid w:val="1D330E31"/>
    <w:rsid w:val="1D3E79C8"/>
    <w:rsid w:val="1D8A2FB9"/>
    <w:rsid w:val="1D96226D"/>
    <w:rsid w:val="1DBD78E5"/>
    <w:rsid w:val="1DC307F5"/>
    <w:rsid w:val="1DD902AF"/>
    <w:rsid w:val="1E042A40"/>
    <w:rsid w:val="1E087E4C"/>
    <w:rsid w:val="1E412497"/>
    <w:rsid w:val="1E495E4A"/>
    <w:rsid w:val="1E6C2A0C"/>
    <w:rsid w:val="1E90200F"/>
    <w:rsid w:val="1E940BC2"/>
    <w:rsid w:val="1EA04FBB"/>
    <w:rsid w:val="1ECB6E9F"/>
    <w:rsid w:val="1ECF5E34"/>
    <w:rsid w:val="1EE5003A"/>
    <w:rsid w:val="1EEF1408"/>
    <w:rsid w:val="1F243AC4"/>
    <w:rsid w:val="1F6432AB"/>
    <w:rsid w:val="1F6E10D7"/>
    <w:rsid w:val="1FA1336F"/>
    <w:rsid w:val="1FDA7D92"/>
    <w:rsid w:val="1FEE5D41"/>
    <w:rsid w:val="20197ABF"/>
    <w:rsid w:val="202250B2"/>
    <w:rsid w:val="202A7DB8"/>
    <w:rsid w:val="20405C77"/>
    <w:rsid w:val="20413129"/>
    <w:rsid w:val="206474A2"/>
    <w:rsid w:val="206D2096"/>
    <w:rsid w:val="20BA367F"/>
    <w:rsid w:val="20D3350F"/>
    <w:rsid w:val="21133619"/>
    <w:rsid w:val="212438E4"/>
    <w:rsid w:val="212766B2"/>
    <w:rsid w:val="212C2F1A"/>
    <w:rsid w:val="21A2765C"/>
    <w:rsid w:val="21F901D7"/>
    <w:rsid w:val="22002AF9"/>
    <w:rsid w:val="220415A1"/>
    <w:rsid w:val="22163011"/>
    <w:rsid w:val="223E5B7B"/>
    <w:rsid w:val="225148B7"/>
    <w:rsid w:val="2255769E"/>
    <w:rsid w:val="22CC6367"/>
    <w:rsid w:val="22E77CFD"/>
    <w:rsid w:val="22F729C4"/>
    <w:rsid w:val="2308768D"/>
    <w:rsid w:val="23332AFF"/>
    <w:rsid w:val="236A10E5"/>
    <w:rsid w:val="24813E67"/>
    <w:rsid w:val="24B841D4"/>
    <w:rsid w:val="24BF62B4"/>
    <w:rsid w:val="24C345B1"/>
    <w:rsid w:val="24CA06C2"/>
    <w:rsid w:val="24D3426C"/>
    <w:rsid w:val="2527444D"/>
    <w:rsid w:val="259D50E1"/>
    <w:rsid w:val="25B2187E"/>
    <w:rsid w:val="260E0788"/>
    <w:rsid w:val="261C32DC"/>
    <w:rsid w:val="262F241A"/>
    <w:rsid w:val="265768C1"/>
    <w:rsid w:val="26587A9A"/>
    <w:rsid w:val="268E50C1"/>
    <w:rsid w:val="26F216C2"/>
    <w:rsid w:val="270B15D4"/>
    <w:rsid w:val="27364C0C"/>
    <w:rsid w:val="274C08C7"/>
    <w:rsid w:val="27577E78"/>
    <w:rsid w:val="27857E9C"/>
    <w:rsid w:val="27C302C0"/>
    <w:rsid w:val="27EC00CE"/>
    <w:rsid w:val="27F04C64"/>
    <w:rsid w:val="282840C7"/>
    <w:rsid w:val="283A3566"/>
    <w:rsid w:val="284A1FD0"/>
    <w:rsid w:val="28602A63"/>
    <w:rsid w:val="287B527A"/>
    <w:rsid w:val="295515A3"/>
    <w:rsid w:val="299B2C4B"/>
    <w:rsid w:val="29E108A9"/>
    <w:rsid w:val="2A00650F"/>
    <w:rsid w:val="2AAE59D3"/>
    <w:rsid w:val="2AC80DE7"/>
    <w:rsid w:val="2ACF0213"/>
    <w:rsid w:val="2AE17A5A"/>
    <w:rsid w:val="2B086AE4"/>
    <w:rsid w:val="2B412A9C"/>
    <w:rsid w:val="2B46206D"/>
    <w:rsid w:val="2B5777B6"/>
    <w:rsid w:val="2B755F05"/>
    <w:rsid w:val="2BEE5B6C"/>
    <w:rsid w:val="2C7A360C"/>
    <w:rsid w:val="2C903ED7"/>
    <w:rsid w:val="2C915955"/>
    <w:rsid w:val="2CA12159"/>
    <w:rsid w:val="2CCD560C"/>
    <w:rsid w:val="2CD755B9"/>
    <w:rsid w:val="2D1B73E6"/>
    <w:rsid w:val="2D4D14EC"/>
    <w:rsid w:val="2D8B668E"/>
    <w:rsid w:val="2DA31217"/>
    <w:rsid w:val="2DAC25A2"/>
    <w:rsid w:val="2DB35F88"/>
    <w:rsid w:val="2DFE3D05"/>
    <w:rsid w:val="2E0C325B"/>
    <w:rsid w:val="2E176C7E"/>
    <w:rsid w:val="2E4D0D88"/>
    <w:rsid w:val="2E6E1562"/>
    <w:rsid w:val="2E784430"/>
    <w:rsid w:val="2E7B2593"/>
    <w:rsid w:val="2E8E489C"/>
    <w:rsid w:val="2E996FC4"/>
    <w:rsid w:val="2E9C65CF"/>
    <w:rsid w:val="2EA00A43"/>
    <w:rsid w:val="2EB536D8"/>
    <w:rsid w:val="2EC46369"/>
    <w:rsid w:val="2F401543"/>
    <w:rsid w:val="2F754677"/>
    <w:rsid w:val="2F8A246F"/>
    <w:rsid w:val="2F8C5E4F"/>
    <w:rsid w:val="2FAA2969"/>
    <w:rsid w:val="300653FF"/>
    <w:rsid w:val="30161F54"/>
    <w:rsid w:val="307A6987"/>
    <w:rsid w:val="30BF59F1"/>
    <w:rsid w:val="30DC5C3C"/>
    <w:rsid w:val="30E90F55"/>
    <w:rsid w:val="30F60C4E"/>
    <w:rsid w:val="31257642"/>
    <w:rsid w:val="31294EAE"/>
    <w:rsid w:val="31510D77"/>
    <w:rsid w:val="315D7B06"/>
    <w:rsid w:val="31663CA3"/>
    <w:rsid w:val="318E62CA"/>
    <w:rsid w:val="319704F8"/>
    <w:rsid w:val="319745FE"/>
    <w:rsid w:val="31D3523A"/>
    <w:rsid w:val="31E83B58"/>
    <w:rsid w:val="32586854"/>
    <w:rsid w:val="325D64AF"/>
    <w:rsid w:val="328B543C"/>
    <w:rsid w:val="32DE7091"/>
    <w:rsid w:val="32ED5589"/>
    <w:rsid w:val="32F0373B"/>
    <w:rsid w:val="33227DAA"/>
    <w:rsid w:val="3348333C"/>
    <w:rsid w:val="3377286F"/>
    <w:rsid w:val="338E24CA"/>
    <w:rsid w:val="339D16BE"/>
    <w:rsid w:val="339F475C"/>
    <w:rsid w:val="34087CDE"/>
    <w:rsid w:val="341D1F3B"/>
    <w:rsid w:val="347E1245"/>
    <w:rsid w:val="34A34558"/>
    <w:rsid w:val="34A35CEF"/>
    <w:rsid w:val="353B029A"/>
    <w:rsid w:val="35405777"/>
    <w:rsid w:val="354E52E6"/>
    <w:rsid w:val="356751D9"/>
    <w:rsid w:val="357B7045"/>
    <w:rsid w:val="35B60D62"/>
    <w:rsid w:val="35DD7F80"/>
    <w:rsid w:val="35E07D4F"/>
    <w:rsid w:val="361B28D6"/>
    <w:rsid w:val="365428FA"/>
    <w:rsid w:val="366863A6"/>
    <w:rsid w:val="36737FFA"/>
    <w:rsid w:val="368A5D9F"/>
    <w:rsid w:val="36C16F1E"/>
    <w:rsid w:val="36E702E1"/>
    <w:rsid w:val="36EF3035"/>
    <w:rsid w:val="36FC0E71"/>
    <w:rsid w:val="372C4753"/>
    <w:rsid w:val="376D60E4"/>
    <w:rsid w:val="377F1060"/>
    <w:rsid w:val="379A3573"/>
    <w:rsid w:val="37AF7B6F"/>
    <w:rsid w:val="38061241"/>
    <w:rsid w:val="380813C3"/>
    <w:rsid w:val="38122F10"/>
    <w:rsid w:val="38174ABC"/>
    <w:rsid w:val="38616237"/>
    <w:rsid w:val="386D4BD8"/>
    <w:rsid w:val="388B2624"/>
    <w:rsid w:val="38A967B7"/>
    <w:rsid w:val="390D387E"/>
    <w:rsid w:val="39302ACC"/>
    <w:rsid w:val="394E075C"/>
    <w:rsid w:val="395F671A"/>
    <w:rsid w:val="39AB195F"/>
    <w:rsid w:val="39F925AD"/>
    <w:rsid w:val="3A3F6103"/>
    <w:rsid w:val="3A426DAB"/>
    <w:rsid w:val="3A611BA9"/>
    <w:rsid w:val="3A6977A4"/>
    <w:rsid w:val="3A6D363A"/>
    <w:rsid w:val="3B490C05"/>
    <w:rsid w:val="3B4B4B21"/>
    <w:rsid w:val="3B517F66"/>
    <w:rsid w:val="3BC93ABF"/>
    <w:rsid w:val="3BD0640F"/>
    <w:rsid w:val="3BDD5318"/>
    <w:rsid w:val="3BFD158A"/>
    <w:rsid w:val="3C027831"/>
    <w:rsid w:val="3C3502BB"/>
    <w:rsid w:val="3C3A346E"/>
    <w:rsid w:val="3C5F6CED"/>
    <w:rsid w:val="3C617BC4"/>
    <w:rsid w:val="3C680890"/>
    <w:rsid w:val="3C855991"/>
    <w:rsid w:val="3CB01DBD"/>
    <w:rsid w:val="3CCE3EF4"/>
    <w:rsid w:val="3CE76ACB"/>
    <w:rsid w:val="3CED5C35"/>
    <w:rsid w:val="3CF16ABC"/>
    <w:rsid w:val="3CF20C84"/>
    <w:rsid w:val="3D0E58FB"/>
    <w:rsid w:val="3D31661F"/>
    <w:rsid w:val="3D382CFC"/>
    <w:rsid w:val="3D603E83"/>
    <w:rsid w:val="3DC065B9"/>
    <w:rsid w:val="3DF85DAB"/>
    <w:rsid w:val="3E35213F"/>
    <w:rsid w:val="3E383613"/>
    <w:rsid w:val="3E3B0641"/>
    <w:rsid w:val="3E3F17BF"/>
    <w:rsid w:val="3E5C692F"/>
    <w:rsid w:val="3EA779CF"/>
    <w:rsid w:val="3EB2521D"/>
    <w:rsid w:val="3ED1136C"/>
    <w:rsid w:val="3EF53701"/>
    <w:rsid w:val="3F2C130C"/>
    <w:rsid w:val="3F351D50"/>
    <w:rsid w:val="3F4352B8"/>
    <w:rsid w:val="3F874C1D"/>
    <w:rsid w:val="3FC93E3A"/>
    <w:rsid w:val="3FF275C5"/>
    <w:rsid w:val="3FF6506A"/>
    <w:rsid w:val="400E6807"/>
    <w:rsid w:val="403C0681"/>
    <w:rsid w:val="40476614"/>
    <w:rsid w:val="404E4162"/>
    <w:rsid w:val="406153F2"/>
    <w:rsid w:val="406C1954"/>
    <w:rsid w:val="407B3B9C"/>
    <w:rsid w:val="4093495B"/>
    <w:rsid w:val="40CA7CCF"/>
    <w:rsid w:val="413333BF"/>
    <w:rsid w:val="416359DF"/>
    <w:rsid w:val="416A0A92"/>
    <w:rsid w:val="416C1C89"/>
    <w:rsid w:val="4183361B"/>
    <w:rsid w:val="41C66851"/>
    <w:rsid w:val="41D006FA"/>
    <w:rsid w:val="41EA0EBD"/>
    <w:rsid w:val="41EC2ADA"/>
    <w:rsid w:val="420D1363"/>
    <w:rsid w:val="42244706"/>
    <w:rsid w:val="42705A11"/>
    <w:rsid w:val="42A42103"/>
    <w:rsid w:val="42CE385C"/>
    <w:rsid w:val="430D59FD"/>
    <w:rsid w:val="434E2115"/>
    <w:rsid w:val="4376603F"/>
    <w:rsid w:val="4392793A"/>
    <w:rsid w:val="43A61EBD"/>
    <w:rsid w:val="43AC75FE"/>
    <w:rsid w:val="43CE6C96"/>
    <w:rsid w:val="44066D34"/>
    <w:rsid w:val="446055EE"/>
    <w:rsid w:val="44847BAF"/>
    <w:rsid w:val="448633A1"/>
    <w:rsid w:val="448D2A45"/>
    <w:rsid w:val="449C07D6"/>
    <w:rsid w:val="44C66444"/>
    <w:rsid w:val="44E636FF"/>
    <w:rsid w:val="450F58B5"/>
    <w:rsid w:val="4535723A"/>
    <w:rsid w:val="454A4142"/>
    <w:rsid w:val="45AA1F70"/>
    <w:rsid w:val="45AA4DF1"/>
    <w:rsid w:val="45AB6DA2"/>
    <w:rsid w:val="45AD28FA"/>
    <w:rsid w:val="45B620B1"/>
    <w:rsid w:val="45D3368A"/>
    <w:rsid w:val="45E30C25"/>
    <w:rsid w:val="45F60843"/>
    <w:rsid w:val="46153863"/>
    <w:rsid w:val="462B263C"/>
    <w:rsid w:val="46452166"/>
    <w:rsid w:val="464571B1"/>
    <w:rsid w:val="468F0148"/>
    <w:rsid w:val="46A64DB2"/>
    <w:rsid w:val="47411DB3"/>
    <w:rsid w:val="477535AD"/>
    <w:rsid w:val="47764DFC"/>
    <w:rsid w:val="47786E2E"/>
    <w:rsid w:val="47F5175F"/>
    <w:rsid w:val="481B05F8"/>
    <w:rsid w:val="48701D09"/>
    <w:rsid w:val="48756F94"/>
    <w:rsid w:val="48874770"/>
    <w:rsid w:val="48C361EA"/>
    <w:rsid w:val="48E53886"/>
    <w:rsid w:val="48F813D7"/>
    <w:rsid w:val="491173EB"/>
    <w:rsid w:val="4925753D"/>
    <w:rsid w:val="49D64451"/>
    <w:rsid w:val="49E11574"/>
    <w:rsid w:val="49E13F5D"/>
    <w:rsid w:val="4A136BD7"/>
    <w:rsid w:val="4A183076"/>
    <w:rsid w:val="4A220275"/>
    <w:rsid w:val="4A5452EF"/>
    <w:rsid w:val="4A69564B"/>
    <w:rsid w:val="4AA66BEC"/>
    <w:rsid w:val="4AB26A2A"/>
    <w:rsid w:val="4AF64A04"/>
    <w:rsid w:val="4AFE519B"/>
    <w:rsid w:val="4B037C74"/>
    <w:rsid w:val="4B240F70"/>
    <w:rsid w:val="4B342D12"/>
    <w:rsid w:val="4B3D7E85"/>
    <w:rsid w:val="4B496DCF"/>
    <w:rsid w:val="4B756FE5"/>
    <w:rsid w:val="4B7C315C"/>
    <w:rsid w:val="4B8126C6"/>
    <w:rsid w:val="4B95246F"/>
    <w:rsid w:val="4BC32B39"/>
    <w:rsid w:val="4BD44785"/>
    <w:rsid w:val="4C155EE8"/>
    <w:rsid w:val="4C180CAB"/>
    <w:rsid w:val="4C5E6ABF"/>
    <w:rsid w:val="4C6B4F7E"/>
    <w:rsid w:val="4C7C7F92"/>
    <w:rsid w:val="4C934C01"/>
    <w:rsid w:val="4CB05E57"/>
    <w:rsid w:val="4CB20604"/>
    <w:rsid w:val="4D3A7B19"/>
    <w:rsid w:val="4D481C35"/>
    <w:rsid w:val="4D884EB7"/>
    <w:rsid w:val="4D9F1295"/>
    <w:rsid w:val="4D9F3BD6"/>
    <w:rsid w:val="4DB302F1"/>
    <w:rsid w:val="4DBC4652"/>
    <w:rsid w:val="4DF75E03"/>
    <w:rsid w:val="4E084FAF"/>
    <w:rsid w:val="4E0F5FAC"/>
    <w:rsid w:val="4E120D67"/>
    <w:rsid w:val="4E261AA5"/>
    <w:rsid w:val="4E67288E"/>
    <w:rsid w:val="4E88718D"/>
    <w:rsid w:val="4E9714AD"/>
    <w:rsid w:val="4E9804AF"/>
    <w:rsid w:val="4E9E30C7"/>
    <w:rsid w:val="4EE22289"/>
    <w:rsid w:val="4EE9411A"/>
    <w:rsid w:val="4F026F11"/>
    <w:rsid w:val="4F141089"/>
    <w:rsid w:val="4FA963F8"/>
    <w:rsid w:val="500F4BDE"/>
    <w:rsid w:val="50154213"/>
    <w:rsid w:val="50215D5E"/>
    <w:rsid w:val="5031354C"/>
    <w:rsid w:val="50367694"/>
    <w:rsid w:val="5046564B"/>
    <w:rsid w:val="50571662"/>
    <w:rsid w:val="507C08EE"/>
    <w:rsid w:val="508048A2"/>
    <w:rsid w:val="5083021E"/>
    <w:rsid w:val="50A37C9E"/>
    <w:rsid w:val="51507384"/>
    <w:rsid w:val="51864D34"/>
    <w:rsid w:val="51C07C78"/>
    <w:rsid w:val="520A00E8"/>
    <w:rsid w:val="521D58F9"/>
    <w:rsid w:val="524135FD"/>
    <w:rsid w:val="52527979"/>
    <w:rsid w:val="52941145"/>
    <w:rsid w:val="52B7707E"/>
    <w:rsid w:val="52BC0B9A"/>
    <w:rsid w:val="52C10417"/>
    <w:rsid w:val="52D4387D"/>
    <w:rsid w:val="52EC6E19"/>
    <w:rsid w:val="52FA26CE"/>
    <w:rsid w:val="5301063F"/>
    <w:rsid w:val="5303259D"/>
    <w:rsid w:val="53410479"/>
    <w:rsid w:val="53716762"/>
    <w:rsid w:val="53AF0612"/>
    <w:rsid w:val="53B50EDC"/>
    <w:rsid w:val="53D2557A"/>
    <w:rsid w:val="53D55CBA"/>
    <w:rsid w:val="53EE1FCD"/>
    <w:rsid w:val="54017020"/>
    <w:rsid w:val="547916E6"/>
    <w:rsid w:val="548E4ECC"/>
    <w:rsid w:val="549C29F8"/>
    <w:rsid w:val="54C80264"/>
    <w:rsid w:val="55375A1D"/>
    <w:rsid w:val="554D07B3"/>
    <w:rsid w:val="5551753F"/>
    <w:rsid w:val="55682E56"/>
    <w:rsid w:val="556C5FEF"/>
    <w:rsid w:val="55B42BBE"/>
    <w:rsid w:val="55BC726F"/>
    <w:rsid w:val="55CB1CA2"/>
    <w:rsid w:val="55CF725E"/>
    <w:rsid w:val="55DC7137"/>
    <w:rsid w:val="55F945A7"/>
    <w:rsid w:val="56161ACB"/>
    <w:rsid w:val="562C577E"/>
    <w:rsid w:val="56771861"/>
    <w:rsid w:val="567E69C7"/>
    <w:rsid w:val="56CB68AA"/>
    <w:rsid w:val="56F47CFD"/>
    <w:rsid w:val="5757306A"/>
    <w:rsid w:val="576E316C"/>
    <w:rsid w:val="57975CAB"/>
    <w:rsid w:val="57AF6FA2"/>
    <w:rsid w:val="57B50522"/>
    <w:rsid w:val="57BC68FB"/>
    <w:rsid w:val="57F64FB7"/>
    <w:rsid w:val="584C64D4"/>
    <w:rsid w:val="58515970"/>
    <w:rsid w:val="586930C8"/>
    <w:rsid w:val="58896EB8"/>
    <w:rsid w:val="58965AE0"/>
    <w:rsid w:val="589A36DD"/>
    <w:rsid w:val="58B146DF"/>
    <w:rsid w:val="58B44D83"/>
    <w:rsid w:val="58BD4E69"/>
    <w:rsid w:val="58C85418"/>
    <w:rsid w:val="58D04DB5"/>
    <w:rsid w:val="58E778C2"/>
    <w:rsid w:val="59102486"/>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6F077C"/>
    <w:rsid w:val="5B7C3B31"/>
    <w:rsid w:val="5B975D90"/>
    <w:rsid w:val="5BAE2233"/>
    <w:rsid w:val="5BC56D23"/>
    <w:rsid w:val="5BF93424"/>
    <w:rsid w:val="5C142CF3"/>
    <w:rsid w:val="5C3E0113"/>
    <w:rsid w:val="5C4161D5"/>
    <w:rsid w:val="5C452F58"/>
    <w:rsid w:val="5C58107B"/>
    <w:rsid w:val="5C5A1297"/>
    <w:rsid w:val="5CEB2F76"/>
    <w:rsid w:val="5D0735AB"/>
    <w:rsid w:val="5D0905C7"/>
    <w:rsid w:val="5D132893"/>
    <w:rsid w:val="5D46181B"/>
    <w:rsid w:val="5D517EF8"/>
    <w:rsid w:val="5D6A0727"/>
    <w:rsid w:val="5D6A758E"/>
    <w:rsid w:val="5DBC337C"/>
    <w:rsid w:val="5DC70367"/>
    <w:rsid w:val="5DD01996"/>
    <w:rsid w:val="5DEE17A0"/>
    <w:rsid w:val="5E2C6811"/>
    <w:rsid w:val="5E3F1B8E"/>
    <w:rsid w:val="5E5D24DE"/>
    <w:rsid w:val="5E943429"/>
    <w:rsid w:val="5F19062F"/>
    <w:rsid w:val="5F241C7D"/>
    <w:rsid w:val="5F4E49B7"/>
    <w:rsid w:val="5F593A88"/>
    <w:rsid w:val="5F5C3AAE"/>
    <w:rsid w:val="5F6566FC"/>
    <w:rsid w:val="5F667C30"/>
    <w:rsid w:val="5F6928E0"/>
    <w:rsid w:val="5FFA73C0"/>
    <w:rsid w:val="5FFB4F31"/>
    <w:rsid w:val="60163260"/>
    <w:rsid w:val="60261BC5"/>
    <w:rsid w:val="60517F91"/>
    <w:rsid w:val="605B6152"/>
    <w:rsid w:val="606D1328"/>
    <w:rsid w:val="609B59DA"/>
    <w:rsid w:val="60BC503C"/>
    <w:rsid w:val="610E4B77"/>
    <w:rsid w:val="61175156"/>
    <w:rsid w:val="6121732C"/>
    <w:rsid w:val="6129176B"/>
    <w:rsid w:val="612E7085"/>
    <w:rsid w:val="6161597C"/>
    <w:rsid w:val="61776BD8"/>
    <w:rsid w:val="618E0C02"/>
    <w:rsid w:val="61A905CB"/>
    <w:rsid w:val="61B52ACC"/>
    <w:rsid w:val="61BB33F8"/>
    <w:rsid w:val="61F07FA8"/>
    <w:rsid w:val="61FA62F1"/>
    <w:rsid w:val="61FB05CA"/>
    <w:rsid w:val="6212744C"/>
    <w:rsid w:val="62767DB3"/>
    <w:rsid w:val="627C32F1"/>
    <w:rsid w:val="628A30D3"/>
    <w:rsid w:val="628F2FB7"/>
    <w:rsid w:val="629E14D4"/>
    <w:rsid w:val="62B77BE9"/>
    <w:rsid w:val="62CF1DC1"/>
    <w:rsid w:val="62E87E2E"/>
    <w:rsid w:val="62F20C9B"/>
    <w:rsid w:val="63110628"/>
    <w:rsid w:val="63186CDC"/>
    <w:rsid w:val="633900C3"/>
    <w:rsid w:val="63394D22"/>
    <w:rsid w:val="633E367E"/>
    <w:rsid w:val="63462575"/>
    <w:rsid w:val="634A326F"/>
    <w:rsid w:val="63A23F96"/>
    <w:rsid w:val="63A82B19"/>
    <w:rsid w:val="63AC0CA9"/>
    <w:rsid w:val="63B0325B"/>
    <w:rsid w:val="63D2204C"/>
    <w:rsid w:val="63D27965"/>
    <w:rsid w:val="63F518A5"/>
    <w:rsid w:val="644840CB"/>
    <w:rsid w:val="646338BD"/>
    <w:rsid w:val="64640538"/>
    <w:rsid w:val="64CF4865"/>
    <w:rsid w:val="64E41722"/>
    <w:rsid w:val="64F56F26"/>
    <w:rsid w:val="65025771"/>
    <w:rsid w:val="650600CC"/>
    <w:rsid w:val="650C421C"/>
    <w:rsid w:val="652C107D"/>
    <w:rsid w:val="655A744F"/>
    <w:rsid w:val="658214C6"/>
    <w:rsid w:val="658630FD"/>
    <w:rsid w:val="658C1E1A"/>
    <w:rsid w:val="65B1169D"/>
    <w:rsid w:val="65BF59E0"/>
    <w:rsid w:val="65F36129"/>
    <w:rsid w:val="660C430D"/>
    <w:rsid w:val="660E094E"/>
    <w:rsid w:val="661071AC"/>
    <w:rsid w:val="664868A8"/>
    <w:rsid w:val="669607BC"/>
    <w:rsid w:val="66D441BA"/>
    <w:rsid w:val="66E54929"/>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96B0149"/>
    <w:rsid w:val="69990F25"/>
    <w:rsid w:val="6A0F6247"/>
    <w:rsid w:val="6A1C3020"/>
    <w:rsid w:val="6A721303"/>
    <w:rsid w:val="6AB23827"/>
    <w:rsid w:val="6AE52701"/>
    <w:rsid w:val="6AEB58A2"/>
    <w:rsid w:val="6AEF40DD"/>
    <w:rsid w:val="6B054057"/>
    <w:rsid w:val="6B2D622B"/>
    <w:rsid w:val="6B351F2B"/>
    <w:rsid w:val="6B560E7C"/>
    <w:rsid w:val="6B5D3DE9"/>
    <w:rsid w:val="6B636EEE"/>
    <w:rsid w:val="6B654374"/>
    <w:rsid w:val="6B71538F"/>
    <w:rsid w:val="6BAE1FE0"/>
    <w:rsid w:val="6BF24E73"/>
    <w:rsid w:val="6C000579"/>
    <w:rsid w:val="6C0E5BFA"/>
    <w:rsid w:val="6C106DD8"/>
    <w:rsid w:val="6C661592"/>
    <w:rsid w:val="6C691082"/>
    <w:rsid w:val="6C8B6B84"/>
    <w:rsid w:val="6C927719"/>
    <w:rsid w:val="6CB92B4F"/>
    <w:rsid w:val="6CCC4AC5"/>
    <w:rsid w:val="6D103C46"/>
    <w:rsid w:val="6D4A104D"/>
    <w:rsid w:val="6D572ED4"/>
    <w:rsid w:val="6D5A75F0"/>
    <w:rsid w:val="6D951A88"/>
    <w:rsid w:val="6D9E7CFF"/>
    <w:rsid w:val="6DBE4FD8"/>
    <w:rsid w:val="6DBF6906"/>
    <w:rsid w:val="6DD4799A"/>
    <w:rsid w:val="6E031605"/>
    <w:rsid w:val="6E0B7898"/>
    <w:rsid w:val="6E3B5181"/>
    <w:rsid w:val="6E3F02ED"/>
    <w:rsid w:val="6E6B0D3B"/>
    <w:rsid w:val="6E7704D7"/>
    <w:rsid w:val="6EBC41D1"/>
    <w:rsid w:val="6F006EC6"/>
    <w:rsid w:val="6F584989"/>
    <w:rsid w:val="6F5C1B59"/>
    <w:rsid w:val="6F745C8F"/>
    <w:rsid w:val="6F9563C8"/>
    <w:rsid w:val="6FD96130"/>
    <w:rsid w:val="700B6E0F"/>
    <w:rsid w:val="70684A8A"/>
    <w:rsid w:val="70B74FE5"/>
    <w:rsid w:val="70C4152A"/>
    <w:rsid w:val="70CA35F2"/>
    <w:rsid w:val="70F54D20"/>
    <w:rsid w:val="712060B5"/>
    <w:rsid w:val="71236EDA"/>
    <w:rsid w:val="719F47B7"/>
    <w:rsid w:val="71B24699"/>
    <w:rsid w:val="72263A65"/>
    <w:rsid w:val="72657AB1"/>
    <w:rsid w:val="726B0227"/>
    <w:rsid w:val="729977C0"/>
    <w:rsid w:val="72B374CD"/>
    <w:rsid w:val="72B63FEB"/>
    <w:rsid w:val="72BA0B6E"/>
    <w:rsid w:val="732B04BE"/>
    <w:rsid w:val="73426A6E"/>
    <w:rsid w:val="7349759C"/>
    <w:rsid w:val="7387572A"/>
    <w:rsid w:val="738F746D"/>
    <w:rsid w:val="73C23617"/>
    <w:rsid w:val="73D01AD6"/>
    <w:rsid w:val="74214277"/>
    <w:rsid w:val="74412361"/>
    <w:rsid w:val="74421CEE"/>
    <w:rsid w:val="74465574"/>
    <w:rsid w:val="74AE06FF"/>
    <w:rsid w:val="74B61471"/>
    <w:rsid w:val="74C94DB4"/>
    <w:rsid w:val="74EA267C"/>
    <w:rsid w:val="750B7208"/>
    <w:rsid w:val="751208DE"/>
    <w:rsid w:val="75431E21"/>
    <w:rsid w:val="755C1037"/>
    <w:rsid w:val="75937941"/>
    <w:rsid w:val="76291105"/>
    <w:rsid w:val="765A6CA3"/>
    <w:rsid w:val="766B153E"/>
    <w:rsid w:val="766E7A94"/>
    <w:rsid w:val="767A5B20"/>
    <w:rsid w:val="769A2CFE"/>
    <w:rsid w:val="76B53FEF"/>
    <w:rsid w:val="77003391"/>
    <w:rsid w:val="770A432F"/>
    <w:rsid w:val="772B32FB"/>
    <w:rsid w:val="773542CF"/>
    <w:rsid w:val="77471FC0"/>
    <w:rsid w:val="77503765"/>
    <w:rsid w:val="77541BAC"/>
    <w:rsid w:val="775719AD"/>
    <w:rsid w:val="77830D3B"/>
    <w:rsid w:val="77867617"/>
    <w:rsid w:val="77CC7757"/>
    <w:rsid w:val="77DD4B45"/>
    <w:rsid w:val="77DF669D"/>
    <w:rsid w:val="78174A3B"/>
    <w:rsid w:val="78370AF4"/>
    <w:rsid w:val="7837358B"/>
    <w:rsid w:val="7843100E"/>
    <w:rsid w:val="78491308"/>
    <w:rsid w:val="785227AE"/>
    <w:rsid w:val="789B79E8"/>
    <w:rsid w:val="78BC281C"/>
    <w:rsid w:val="78C70FDB"/>
    <w:rsid w:val="78DA7593"/>
    <w:rsid w:val="78EA70A7"/>
    <w:rsid w:val="791847DC"/>
    <w:rsid w:val="79540723"/>
    <w:rsid w:val="79C52A2E"/>
    <w:rsid w:val="79E06716"/>
    <w:rsid w:val="79F86219"/>
    <w:rsid w:val="7A496864"/>
    <w:rsid w:val="7A763134"/>
    <w:rsid w:val="7A7F33BC"/>
    <w:rsid w:val="7A813805"/>
    <w:rsid w:val="7A9E53BF"/>
    <w:rsid w:val="7AE82EBD"/>
    <w:rsid w:val="7AEC5112"/>
    <w:rsid w:val="7B0424FE"/>
    <w:rsid w:val="7B1D3764"/>
    <w:rsid w:val="7B226FCC"/>
    <w:rsid w:val="7B487C56"/>
    <w:rsid w:val="7B7E0C9A"/>
    <w:rsid w:val="7B8F0316"/>
    <w:rsid w:val="7BE3376C"/>
    <w:rsid w:val="7BEC630B"/>
    <w:rsid w:val="7C311D8E"/>
    <w:rsid w:val="7C9A49D8"/>
    <w:rsid w:val="7CAC02D7"/>
    <w:rsid w:val="7D232C87"/>
    <w:rsid w:val="7D2A41DD"/>
    <w:rsid w:val="7D524B36"/>
    <w:rsid w:val="7D687914"/>
    <w:rsid w:val="7D821433"/>
    <w:rsid w:val="7D865A13"/>
    <w:rsid w:val="7D897EF4"/>
    <w:rsid w:val="7DBE51A3"/>
    <w:rsid w:val="7DC51651"/>
    <w:rsid w:val="7DF97A0C"/>
    <w:rsid w:val="7E581EF8"/>
    <w:rsid w:val="7E5C50DB"/>
    <w:rsid w:val="7E9C297F"/>
    <w:rsid w:val="7EBD3551"/>
    <w:rsid w:val="7EBE3F1A"/>
    <w:rsid w:val="7ECA636E"/>
    <w:rsid w:val="7ECC2ECE"/>
    <w:rsid w:val="7EDE4B0A"/>
    <w:rsid w:val="7EEE70ED"/>
    <w:rsid w:val="7F380675"/>
    <w:rsid w:val="7F3C77E4"/>
    <w:rsid w:val="7F58120E"/>
    <w:rsid w:val="7F6A3A60"/>
    <w:rsid w:val="7F8416CC"/>
    <w:rsid w:val="7F9507F9"/>
    <w:rsid w:val="7F9A207F"/>
    <w:rsid w:val="7FC63BD4"/>
    <w:rsid w:val="7FD46773"/>
    <w:rsid w:val="7FD72826"/>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4465" w:right="119"/>
      <w:jc w:val="both"/>
      <w:outlineLvl w:val="1"/>
    </w:pPr>
    <w:rPr>
      <w:rFonts w:ascii="宋体" w:hAnsi="宋体" w:eastAsia="宋体" w:cs="宋体"/>
      <w:b/>
      <w:bCs/>
      <w:sz w:val="52"/>
      <w:szCs w:val="52"/>
      <w:lang w:val="zh-CN" w:eastAsia="zh-CN" w:bidi="zh-CN"/>
    </w:rPr>
  </w:style>
  <w:style w:type="paragraph" w:styleId="3">
    <w:name w:val="heading 2"/>
    <w:basedOn w:val="1"/>
    <w:next w:val="1"/>
    <w:link w:val="37"/>
    <w:autoRedefine/>
    <w:qFormat/>
    <w:uiPriority w:val="1"/>
    <w:pPr>
      <w:ind w:right="114"/>
      <w:jc w:val="center"/>
      <w:outlineLvl w:val="2"/>
    </w:pPr>
    <w:rPr>
      <w:rFonts w:ascii="宋体" w:hAnsi="宋体" w:eastAsia="宋体" w:cs="宋体"/>
      <w:b/>
      <w:bCs/>
      <w:sz w:val="48"/>
      <w:szCs w:val="48"/>
      <w:lang w:val="zh-CN" w:eastAsia="zh-CN" w:bidi="zh-CN"/>
    </w:rPr>
  </w:style>
  <w:style w:type="paragraph" w:styleId="4">
    <w:name w:val="heading 3"/>
    <w:basedOn w:val="1"/>
    <w:next w:val="1"/>
    <w:autoRedefine/>
    <w:qFormat/>
    <w:uiPriority w:val="1"/>
    <w:pPr>
      <w:ind w:left="318"/>
      <w:outlineLvl w:val="3"/>
    </w:pPr>
    <w:rPr>
      <w:rFonts w:ascii="宋体" w:hAnsi="宋体" w:eastAsia="宋体" w:cs="宋体"/>
      <w:b/>
      <w:bCs/>
      <w:sz w:val="32"/>
      <w:szCs w:val="32"/>
      <w:lang w:val="zh-CN" w:eastAsia="zh-CN" w:bidi="zh-CN"/>
    </w:rPr>
  </w:style>
  <w:style w:type="paragraph" w:styleId="5">
    <w:name w:val="heading 4"/>
    <w:basedOn w:val="1"/>
    <w:next w:val="1"/>
    <w:autoRedefine/>
    <w:qFormat/>
    <w:uiPriority w:val="1"/>
    <w:pPr>
      <w:spacing w:before="62"/>
      <w:ind w:left="318"/>
      <w:outlineLvl w:val="4"/>
    </w:pPr>
    <w:rPr>
      <w:rFonts w:ascii="宋体" w:hAnsi="宋体" w:eastAsia="宋体" w:cs="宋体"/>
      <w:b/>
      <w:bCs/>
      <w:sz w:val="28"/>
      <w:szCs w:val="28"/>
      <w:lang w:val="zh-CN" w:eastAsia="zh-CN" w:bidi="zh-CN"/>
    </w:rPr>
  </w:style>
  <w:style w:type="paragraph" w:styleId="6">
    <w:name w:val="heading 5"/>
    <w:basedOn w:val="1"/>
    <w:next w:val="1"/>
    <w:autoRedefine/>
    <w:qFormat/>
    <w:uiPriority w:val="1"/>
    <w:pPr>
      <w:ind w:left="942"/>
      <w:outlineLvl w:val="5"/>
    </w:pPr>
    <w:rPr>
      <w:rFonts w:ascii="仿宋" w:hAnsi="仿宋" w:eastAsia="仿宋" w:cs="仿宋"/>
      <w:b/>
      <w:bCs/>
      <w:sz w:val="24"/>
      <w:szCs w:val="24"/>
      <w:lang w:val="zh-CN" w:eastAsia="zh-CN" w:bidi="zh-CN"/>
    </w:rPr>
  </w:style>
  <w:style w:type="paragraph" w:styleId="7">
    <w:name w:val="heading 6"/>
    <w:basedOn w:val="1"/>
    <w:next w:val="1"/>
    <w:autoRedefine/>
    <w:qFormat/>
    <w:uiPriority w:val="1"/>
    <w:pPr>
      <w:ind w:left="100"/>
      <w:outlineLvl w:val="6"/>
    </w:pPr>
    <w:rPr>
      <w:rFonts w:ascii="宋体" w:hAnsi="宋体" w:eastAsia="宋体" w:cs="宋体"/>
      <w:sz w:val="22"/>
      <w:szCs w:val="22"/>
      <w:lang w:val="zh-CN" w:eastAsia="zh-CN" w:bidi="zh-CN"/>
    </w:rPr>
  </w:style>
  <w:style w:type="paragraph" w:styleId="8">
    <w:name w:val="heading 7"/>
    <w:basedOn w:val="1"/>
    <w:next w:val="1"/>
    <w:autoRedefine/>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autoRedefine/>
    <w:semiHidden/>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9">
    <w:name w:val="Body Text 3"/>
    <w:basedOn w:val="1"/>
    <w:autoRedefine/>
    <w:qFormat/>
    <w:uiPriority w:val="99"/>
    <w:pPr>
      <w:spacing w:after="120"/>
    </w:pPr>
    <w:rPr>
      <w:sz w:val="16"/>
      <w:szCs w:val="16"/>
    </w:rPr>
  </w:style>
  <w:style w:type="paragraph" w:styleId="10">
    <w:name w:val="Body Text"/>
    <w:basedOn w:val="1"/>
    <w:link w:val="31"/>
    <w:autoRedefine/>
    <w:qFormat/>
    <w:uiPriority w:val="1"/>
    <w:rPr>
      <w:rFonts w:ascii="宋体" w:hAnsi="宋体" w:eastAsia="宋体" w:cs="宋体"/>
      <w:sz w:val="21"/>
      <w:szCs w:val="21"/>
      <w:lang w:val="zh-CN" w:eastAsia="zh-CN" w:bidi="zh-CN"/>
    </w:rPr>
  </w:style>
  <w:style w:type="paragraph" w:styleId="11">
    <w:name w:val="Body Text Indent"/>
    <w:basedOn w:val="1"/>
    <w:next w:val="12"/>
    <w:autoRedefine/>
    <w:qFormat/>
    <w:uiPriority w:val="0"/>
    <w:pPr>
      <w:spacing w:after="120"/>
      <w:ind w:left="420" w:leftChars="200"/>
      <w:jc w:val="both"/>
    </w:pPr>
    <w:rPr>
      <w:rFonts w:ascii="Calibri" w:hAnsi="Calibri" w:eastAsia="宋体" w:cs="Times New Roman"/>
      <w:kern w:val="2"/>
      <w:sz w:val="21"/>
      <w:szCs w:val="24"/>
      <w:lang w:eastAsia="zh-CN"/>
    </w:rPr>
  </w:style>
  <w:style w:type="paragraph" w:styleId="12">
    <w:name w:val="envelope return"/>
    <w:basedOn w:val="1"/>
    <w:autoRedefine/>
    <w:qFormat/>
    <w:uiPriority w:val="0"/>
    <w:pPr>
      <w:adjustRightInd w:val="0"/>
      <w:snapToGrid w:val="0"/>
      <w:spacing w:line="360" w:lineRule="atLeast"/>
      <w:ind w:firstLine="640" w:firstLineChars="200"/>
    </w:pPr>
    <w:rPr>
      <w:rFonts w:ascii="Arial" w:hAnsi="Arial"/>
    </w:rPr>
  </w:style>
  <w:style w:type="paragraph" w:styleId="13">
    <w:name w:val="toc 3"/>
    <w:basedOn w:val="1"/>
    <w:next w:val="1"/>
    <w:autoRedefine/>
    <w:qFormat/>
    <w:uiPriority w:val="0"/>
    <w:pPr>
      <w:ind w:left="840" w:leftChars="400"/>
    </w:pPr>
  </w:style>
  <w:style w:type="paragraph" w:styleId="14">
    <w:name w:val="Plain Text"/>
    <w:basedOn w:val="1"/>
    <w:next w:val="1"/>
    <w:autoRedefine/>
    <w:qFormat/>
    <w:uiPriority w:val="99"/>
    <w:pPr>
      <w:widowControl w:val="0"/>
      <w:jc w:val="both"/>
    </w:pPr>
    <w:rPr>
      <w:rFonts w:ascii="宋体" w:hAnsi="Courier New"/>
      <w:kern w:val="2"/>
    </w:rPr>
  </w:style>
  <w:style w:type="paragraph" w:styleId="15">
    <w:name w:val="Body Text Indent 2"/>
    <w:basedOn w:val="1"/>
    <w:next w:val="1"/>
    <w:link w:val="32"/>
    <w:autoRedefine/>
    <w:qFormat/>
    <w:uiPriority w:val="99"/>
    <w:pPr>
      <w:spacing w:after="120" w:line="480" w:lineRule="auto"/>
      <w:ind w:left="420" w:leftChars="2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index heading"/>
    <w:basedOn w:val="1"/>
    <w:next w:val="20"/>
    <w:autoRedefine/>
    <w:qFormat/>
    <w:uiPriority w:val="99"/>
    <w:pPr>
      <w:widowControl w:val="0"/>
      <w:jc w:val="both"/>
    </w:pPr>
    <w:rPr>
      <w:kern w:val="2"/>
      <w:szCs w:val="24"/>
    </w:rPr>
  </w:style>
  <w:style w:type="paragraph" w:styleId="20">
    <w:name w:val="index 1"/>
    <w:basedOn w:val="1"/>
    <w:next w:val="1"/>
    <w:autoRedefine/>
    <w:semiHidden/>
    <w:qFormat/>
    <w:uiPriority w:val="99"/>
  </w:style>
  <w:style w:type="paragraph" w:styleId="21">
    <w:name w:val="toc 2"/>
    <w:basedOn w:val="1"/>
    <w:next w:val="1"/>
    <w:autoRedefine/>
    <w:qFormat/>
    <w:uiPriority w:val="0"/>
    <w:pPr>
      <w:ind w:left="420" w:leftChars="200"/>
    </w:p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4">
    <w:name w:val="Body Text First Indent 2"/>
    <w:basedOn w:val="11"/>
    <w:autoRedefine/>
    <w:qFormat/>
    <w:uiPriority w:val="0"/>
    <w:pPr>
      <w:ind w:leftChars="0" w:firstLine="420"/>
    </w:pPr>
    <w:rPr>
      <w:rFonts w:ascii="Times New Roman" w:hAnsi="Times New Roman" w:cs="Times New Roman"/>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autoRedefine/>
    <w:semiHidden/>
    <w:unhideWhenUsed/>
    <w:qFormat/>
    <w:uiPriority w:val="2"/>
    <w:tblPr>
      <w:tblCellMar>
        <w:top w:w="0" w:type="dxa"/>
        <w:left w:w="0" w:type="dxa"/>
        <w:bottom w:w="0" w:type="dxa"/>
        <w:right w:w="0" w:type="dxa"/>
      </w:tblCellMar>
    </w:tblPr>
  </w:style>
  <w:style w:type="paragraph" w:styleId="29">
    <w:name w:val="List Paragraph"/>
    <w:basedOn w:val="1"/>
    <w:autoRedefine/>
    <w:qFormat/>
    <w:uiPriority w:val="1"/>
    <w:pPr>
      <w:ind w:left="100" w:hanging="480"/>
    </w:pPr>
    <w:rPr>
      <w:rFonts w:ascii="宋体" w:hAnsi="宋体" w:eastAsia="宋体" w:cs="宋体"/>
      <w:lang w:val="zh-CN" w:eastAsia="zh-CN" w:bidi="zh-CN"/>
    </w:rPr>
  </w:style>
  <w:style w:type="paragraph" w:customStyle="1" w:styleId="30">
    <w:name w:val="Table Paragraph"/>
    <w:basedOn w:val="1"/>
    <w:autoRedefine/>
    <w:qFormat/>
    <w:uiPriority w:val="1"/>
    <w:rPr>
      <w:rFonts w:ascii="宋体" w:hAnsi="宋体" w:eastAsia="宋体" w:cs="宋体"/>
      <w:lang w:val="zh-CN" w:eastAsia="zh-CN" w:bidi="zh-CN"/>
    </w:rPr>
  </w:style>
  <w:style w:type="character" w:customStyle="1" w:styleId="31">
    <w:name w:val="正文文本 Char"/>
    <w:link w:val="10"/>
    <w:autoRedefine/>
    <w:qFormat/>
    <w:uiPriority w:val="1"/>
    <w:rPr>
      <w:rFonts w:ascii="宋体" w:hAnsi="宋体" w:eastAsia="宋体" w:cs="宋体"/>
      <w:sz w:val="21"/>
      <w:szCs w:val="21"/>
      <w:lang w:val="zh-CN" w:eastAsia="zh-CN" w:bidi="zh-CN"/>
    </w:rPr>
  </w:style>
  <w:style w:type="character" w:customStyle="1" w:styleId="32">
    <w:name w:val="正文文本缩进 2 Char"/>
    <w:link w:val="15"/>
    <w:autoRedefine/>
    <w:qFormat/>
    <w:uiPriority w:val="0"/>
  </w:style>
  <w:style w:type="paragraph" w:customStyle="1" w:styleId="33">
    <w:name w:val="xl29"/>
    <w:basedOn w:val="1"/>
    <w:autoRedefine/>
    <w:qFormat/>
    <w:uiPriority w:val="0"/>
    <w:pPr>
      <w:widowControl/>
      <w:spacing w:before="100" w:beforeAutospacing="1" w:after="100" w:afterAutospacing="1"/>
      <w:jc w:val="center"/>
    </w:pPr>
    <w:rPr>
      <w:rFonts w:ascii="宋体" w:hAnsi="宋体"/>
      <w:kern w:val="0"/>
      <w:sz w:val="28"/>
    </w:rPr>
  </w:style>
  <w:style w:type="paragraph" w:customStyle="1" w:styleId="3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autoRedefine/>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autoRedefine/>
    <w:qFormat/>
    <w:uiPriority w:val="99"/>
    <w:pPr>
      <w:widowControl w:val="0"/>
      <w:spacing w:before="25" w:after="25"/>
    </w:pPr>
    <w:rPr>
      <w:bCs/>
      <w:spacing w:val="10"/>
      <w:sz w:val="24"/>
    </w:rPr>
  </w:style>
  <w:style w:type="character" w:customStyle="1" w:styleId="37">
    <w:name w:val="Heading 2 Char"/>
    <w:basedOn w:val="27"/>
    <w:link w:val="3"/>
    <w:autoRedefine/>
    <w:qFormat/>
    <w:locked/>
    <w:uiPriority w:val="99"/>
    <w:rPr>
      <w:rFonts w:ascii="宋体" w:hAnsi="宋体" w:eastAsia="宋体" w:cs="宋体"/>
      <w:b/>
      <w:bCs/>
      <w:sz w:val="48"/>
      <w:szCs w:val="48"/>
      <w:lang w:val="zh-CN" w:eastAsia="zh-CN" w:bidi="zh-CN"/>
    </w:rPr>
  </w:style>
  <w:style w:type="paragraph" w:customStyle="1" w:styleId="38">
    <w:name w:val="Char Char Char"/>
    <w:basedOn w:val="1"/>
    <w:autoRedefine/>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75</Pages>
  <Words>27148</Words>
  <Characters>27919</Characters>
  <DocSecurity>0</DocSecurity>
  <ScaleCrop>false</ScaleCrop>
  <LinksUpToDate>false</LinksUpToDate>
  <CharactersWithSpaces>29750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2024-03-06T03:41:00Z</cp:lastPrinted>
  <dcterms:created xsi:type="dcterms:W3CDTF">2020-07-27T08:11:00Z</dcterms:created>
  <dcterms:modified xsi:type="dcterms:W3CDTF">2024-03-13T07:13:00Z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2052-12.1.0.16388</vt:lpwstr>
  </property>
  <property fmtid="{D5CDD505-2E9C-101B-9397-08002B2CF9AE}" pid="6" name="ICV">
    <vt:lpwstr>2934BDF3AA6B4FA090F21E2CEF8B3A8D_13</vt:lpwstr>
  </property>
</Properties>
</file>