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6"/>
          <w:szCs w:val="56"/>
          <w:highlight w:val="none"/>
          <w:lang w:eastAsia="zh-CN"/>
        </w:rPr>
      </w:pPr>
      <w:r>
        <w:rPr>
          <w:rFonts w:hint="eastAsia" w:ascii="仿宋" w:hAnsi="仿宋" w:eastAsia="仿宋" w:cs="仿宋"/>
          <w:b/>
          <w:bCs/>
          <w:spacing w:val="-6"/>
          <w:sz w:val="56"/>
          <w:szCs w:val="56"/>
          <w:highlight w:val="none"/>
          <w:lang w:eastAsia="zh-CN"/>
        </w:rPr>
        <w:t>新兴县东利水闸重建工程监理服务</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8"/>
                    <a:srcRect t="5623" b="24221"/>
                    <a:stretch>
                      <a:fillRect/>
                    </a:stretch>
                  </pic:blipFill>
                  <pic:spPr>
                    <a:xfrm>
                      <a:off x="0" y="0"/>
                      <a:ext cx="2202180" cy="1544955"/>
                    </a:xfrm>
                    <a:prstGeom prst="rect">
                      <a:avLst/>
                    </a:prstGeom>
                  </pic:spPr>
                </pic:pic>
              </a:graphicData>
            </a:graphic>
          </wp:inline>
        </w:drawing>
      </w:r>
    </w:p>
    <w:p>
      <w:pPr>
        <w:pStyle w:val="10"/>
        <w:rPr>
          <w:rFonts w:hint="eastAsia" w:ascii="仿宋" w:hAnsi="仿宋" w:eastAsia="仿宋" w:cs="仿宋"/>
          <w:b/>
          <w:sz w:val="20"/>
        </w:rPr>
      </w:pPr>
    </w:p>
    <w:p>
      <w:pPr>
        <w:pStyle w:val="10"/>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10"/>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GDZZ-2024-04-02</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采购单位：新兴县水利工程建设管理中心</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10"/>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lang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eastAsia="zh-CN"/>
        </w:rPr>
        <w:t>二Ｏ二四年四月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0"/>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0"/>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0"/>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10"/>
            <w:rPr>
              <w:rFonts w:hint="eastAsia" w:ascii="仿宋" w:hAnsi="仿宋" w:eastAsia="仿宋" w:cs="仿宋"/>
            </w:rPr>
          </w:pPr>
        </w:p>
        <w:p>
          <w:pPr>
            <w:pStyle w:val="18"/>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12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46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52"/>
              <w:szCs w:val="52"/>
            </w:rPr>
          </w:pPr>
        </w:p>
        <w:p>
          <w:pPr>
            <w:pStyle w:val="10"/>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10"/>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4"/>
        <w:rPr>
          <w:rFonts w:hint="eastAsia" w:ascii="仿宋" w:hAnsi="仿宋" w:eastAsia="仿宋" w:cs="仿宋"/>
          <w:lang w:val="zh-CN" w:eastAsia="zh-CN"/>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受新兴县水利工程建设管理中心的委托，对新兴县东利水闸重建工程监理服务（项目编号：GDZZ-2024-04-02）进行竞争性谈判采购，欢迎符合资格条件的供应商参加。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项目编号：GDZZ-2024-04-02</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新兴县东利水闸重建工程监理服务</w:t>
      </w:r>
    </w:p>
    <w:p>
      <w:pPr>
        <w:pStyle w:val="9"/>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none"/>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721,700.00元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响应供应商应具备《中华人民共和国政府采购法》第二十二条规定的条件，提供下列材料：</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具有独立承担民事责任的能力；【在中华人民共和国境内注册的法人或其他组织，提供有效营业执照（或事业单位法人证书）副本复印件，如非“多证合一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具有良好的商业信誉和健全的财务会计制度；【提供承诺函】</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有依法缴纳税收证明和社会保障资金的良好记录；【提供承诺函】</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参加采购活动前3年内，在经营活动中没有重大违法记录；【提供承诺函】</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具有履行合同所必需的设备和专业技术能力；【提供承诺函】</w:t>
      </w:r>
    </w:p>
    <w:p>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供应商必须符合法律、行政法规规定的其他条件。【提供承诺函】</w:t>
      </w:r>
    </w:p>
    <w:p>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落实政府采购政策需满足的资格要求：</w:t>
      </w:r>
    </w:p>
    <w:p>
      <w:pPr>
        <w:pStyle w:val="10"/>
        <w:numPr>
          <w:ilvl w:val="1"/>
          <w:numId w:val="3"/>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本项目为专门面向中小企业采购的项目，响应供应商须符合其他未列明行业的中小企业划分标准。【提供中小企业声明函】</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本项目特定的资格要求：</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10"/>
        <w:numPr>
          <w:ilvl w:val="1"/>
          <w:numId w:val="3"/>
        </w:numPr>
        <w:spacing w:line="360" w:lineRule="auto"/>
        <w:ind w:left="840" w:leftChars="0" w:hanging="420" w:firstLineChars="0"/>
        <w:rPr>
          <w:rFonts w:hint="eastAsia"/>
          <w:lang w:val="en-US" w:eastAsia="zh-CN"/>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为采购项目提供整体设计、规范编制或者项目管理、监理、检测等服务的供应商，不得再参加该采购项目的其他采购活动；【提供承诺函】</w:t>
      </w:r>
    </w:p>
    <w:p>
      <w:pPr>
        <w:pStyle w:val="10"/>
        <w:numPr>
          <w:ilvl w:val="1"/>
          <w:numId w:val="3"/>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本项目不接受联合体响应，不允许分包和转包；【提供承诺函】</w:t>
      </w:r>
    </w:p>
    <w:p>
      <w:pPr>
        <w:pStyle w:val="10"/>
        <w:numPr>
          <w:ilvl w:val="1"/>
          <w:numId w:val="3"/>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法定代表人或单位负责人与参加本采购项目的其他供应商的法定代表人或单位负责人不为同一人且与其他供应商之间不存在直接控股、管理关系；【提供承诺函】</w:t>
      </w:r>
    </w:p>
    <w:p>
      <w:pPr>
        <w:pStyle w:val="10"/>
        <w:numPr>
          <w:ilvl w:val="1"/>
          <w:numId w:val="3"/>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供应商须具有效的行政主管部门颁发的工程监理综合资质，或水利工程施工监理乙级（或以上）资质证书；</w:t>
      </w:r>
    </w:p>
    <w:p>
      <w:pPr>
        <w:pStyle w:val="10"/>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5"/>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2024年 4 月 17 日</w:t>
      </w:r>
      <w:r>
        <w:rPr>
          <w:rFonts w:hint="eastAsia" w:ascii="仿宋" w:hAnsi="仿宋" w:eastAsia="仿宋" w:cs="仿宋"/>
          <w:b w:val="0"/>
          <w:bCs/>
          <w:color w:val="000000"/>
          <w:kern w:val="28"/>
          <w:sz w:val="21"/>
          <w:szCs w:val="21"/>
          <w:highlight w:val="none"/>
        </w:rPr>
        <w:t>至</w:t>
      </w:r>
      <w:r>
        <w:rPr>
          <w:rFonts w:hint="eastAsia" w:ascii="仿宋" w:hAnsi="仿宋" w:eastAsia="仿宋" w:cs="仿宋"/>
          <w:b w:val="0"/>
          <w:bCs/>
          <w:color w:val="000000"/>
          <w:kern w:val="28"/>
          <w:sz w:val="21"/>
          <w:szCs w:val="21"/>
          <w:highlight w:val="none"/>
          <w:lang w:val="en-US" w:eastAsia="zh-CN"/>
        </w:rPr>
        <w:t>2024年 4 月 19 日</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5"/>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5"/>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5"/>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6"/>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p>
    <w:p>
      <w:pPr>
        <w:keepNext w:val="0"/>
        <w:keepLines w:val="0"/>
        <w:pageBreakBefore w:val="0"/>
        <w:widowControl w:val="0"/>
        <w:numPr>
          <w:ilvl w:val="0"/>
          <w:numId w:val="7"/>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2024年 4 月 23 日8:30-9：00前（北京时间，下同）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7"/>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10"/>
        <w:keepNext w:val="0"/>
        <w:keepLines w:val="0"/>
        <w:pageBreakBefore w:val="0"/>
        <w:widowControl w:val="0"/>
        <w:numPr>
          <w:ilvl w:val="0"/>
          <w:numId w:val="7"/>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2024年 4 月 23 日9：00。（暨本次谈判起始时间）</w:t>
      </w:r>
    </w:p>
    <w:p>
      <w:pPr>
        <w:pStyle w:val="10"/>
        <w:keepNext w:val="0"/>
        <w:keepLines w:val="0"/>
        <w:pageBreakBefore w:val="0"/>
        <w:widowControl w:val="0"/>
        <w:numPr>
          <w:ilvl w:val="0"/>
          <w:numId w:val="7"/>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10"/>
        <w:keepNext w:val="0"/>
        <w:keepLines w:val="0"/>
        <w:pageBreakBefore w:val="0"/>
        <w:widowControl w:val="0"/>
        <w:numPr>
          <w:ilvl w:val="0"/>
          <w:numId w:val="7"/>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10"/>
        <w:keepNext w:val="0"/>
        <w:keepLines w:val="0"/>
        <w:pageBreakBefore w:val="0"/>
        <w:widowControl w:val="0"/>
        <w:numPr>
          <w:ilvl w:val="0"/>
          <w:numId w:val="7"/>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新兴县水利工程建设管理中心；</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eastAsia="zh-CN"/>
        </w:rPr>
        <w:t>新兴县新城镇沿江北路27号；</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10"/>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10"/>
        <w:spacing w:before="164" w:line="240" w:lineRule="auto"/>
        <w:ind w:left="0" w:leftChars="0" w:right="490"/>
        <w:jc w:val="right"/>
        <w:rPr>
          <w:rFonts w:hint="eastAsia" w:ascii="仿宋" w:hAnsi="仿宋" w:eastAsia="仿宋" w:cs="仿宋"/>
          <w:highlight w:val="none"/>
          <w:lang w:eastAsia="zh-CN"/>
        </w:rPr>
      </w:pPr>
      <w:r>
        <w:rPr>
          <w:rFonts w:hint="eastAsia" w:ascii="仿宋" w:hAnsi="仿宋" w:eastAsia="仿宋" w:cs="仿宋"/>
          <w:highlight w:val="none"/>
          <w:lang w:eastAsia="zh-CN"/>
        </w:rPr>
        <w:t>2024年</w:t>
      </w:r>
      <w:r>
        <w:rPr>
          <w:rFonts w:hint="eastAsia" w:ascii="仿宋" w:hAnsi="仿宋" w:eastAsia="仿宋" w:cs="仿宋"/>
          <w:highlight w:val="none"/>
          <w:lang w:val="en-US" w:eastAsia="zh-CN"/>
        </w:rPr>
        <w:t xml:space="preserve"> 4 </w:t>
      </w:r>
      <w:r>
        <w:rPr>
          <w:rFonts w:hint="eastAsia" w:ascii="仿宋" w:hAnsi="仿宋" w:eastAsia="仿宋" w:cs="仿宋"/>
          <w:highlight w:val="none"/>
          <w:lang w:eastAsia="zh-CN"/>
        </w:rPr>
        <w:t>月</w:t>
      </w:r>
      <w:r>
        <w:rPr>
          <w:rFonts w:hint="eastAsia" w:ascii="仿宋" w:hAnsi="仿宋" w:eastAsia="仿宋" w:cs="仿宋"/>
          <w:highlight w:val="none"/>
          <w:lang w:val="en-US" w:eastAsia="zh-CN"/>
        </w:rPr>
        <w:t xml:space="preserve"> 16 </w:t>
      </w:r>
      <w:r>
        <w:rPr>
          <w:rFonts w:hint="eastAsia" w:ascii="仿宋" w:hAnsi="仿宋" w:eastAsia="仿宋" w:cs="仿宋"/>
          <w:highlight w:val="none"/>
          <w:lang w:eastAsia="zh-CN"/>
        </w:rPr>
        <w:t>日</w:t>
      </w:r>
    </w:p>
    <w:p>
      <w:pPr>
        <w:spacing w:after="0" w:line="240" w:lineRule="auto"/>
        <w:ind w:left="0" w:leftChars="0"/>
        <w:jc w:val="right"/>
        <w:rPr>
          <w:rFonts w:hint="eastAsia" w:ascii="仿宋" w:hAnsi="仿宋" w:eastAsia="仿宋" w:cs="仿宋"/>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0"/>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480" w:right="0" w:rightChars="0" w:hanging="482" w:hangingChars="200"/>
        <w:textAlignment w:val="auto"/>
        <w:rPr>
          <w:rFonts w:hint="default" w:ascii="仿宋" w:hAnsi="仿宋" w:eastAsia="仿宋" w:cs="仿宋"/>
          <w:sz w:val="22"/>
          <w:szCs w:val="22"/>
          <w:lang w:val="en-US" w:eastAsia="zh-CN" w:bidi="zh-CN"/>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w:t>
      </w:r>
      <w:bookmarkStart w:id="12" w:name="_Toc78194088"/>
      <w:r>
        <w:rPr>
          <w:rFonts w:hint="eastAsia" w:ascii="仿宋" w:hAnsi="仿宋" w:eastAsia="仿宋" w:cs="仿宋"/>
          <w:b/>
          <w:sz w:val="24"/>
        </w:rPr>
        <w:t>用户需求书中打“★”号条款为实质性响应条款，响应供应商如有一条不响应或负偏离，将会导致响应文件无效。</w:t>
      </w:r>
      <w:r>
        <w:rPr>
          <w:rFonts w:hint="eastAsia" w:ascii="仿宋" w:hAnsi="仿宋" w:eastAsia="仿宋" w:cs="仿宋"/>
          <w:b/>
          <w:sz w:val="24"/>
          <w:lang w:val="en-US" w:eastAsia="zh-CN"/>
        </w:rPr>
        <w:t>带</w:t>
      </w:r>
      <w:r>
        <w:rPr>
          <w:rFonts w:hint="eastAsia" w:ascii="仿宋" w:hAnsi="仿宋" w:eastAsia="仿宋" w:cs="仿宋"/>
          <w:b/>
          <w:sz w:val="24"/>
        </w:rPr>
        <w:t>“▲”号条款为重要参数（如有），若有部分“▲”条款未响应或不满足，将根据评审要求</w:t>
      </w:r>
      <w:r>
        <w:rPr>
          <w:rFonts w:hint="eastAsia" w:ascii="仿宋" w:hAnsi="仿宋" w:eastAsia="仿宋" w:cs="仿宋"/>
          <w:b/>
          <w:sz w:val="24"/>
          <w:lang w:val="en-US" w:eastAsia="zh-CN"/>
        </w:rPr>
        <w:t>影</w:t>
      </w:r>
      <w:r>
        <w:rPr>
          <w:rFonts w:hint="eastAsia" w:ascii="仿宋" w:hAnsi="仿宋" w:eastAsia="仿宋" w:cs="仿宋"/>
          <w:b/>
          <w:sz w:val="24"/>
        </w:rPr>
        <w:t>响其得分，但不作为无效投标（响应）条款。</w:t>
      </w:r>
    </w:p>
    <w:bookmarkEnd w:id="12"/>
    <w:tbl>
      <w:tblPr>
        <w:tblStyle w:val="22"/>
        <w:tblW w:w="50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7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2"/>
          </w:tcPr>
          <w:p>
            <w:pPr>
              <w:pStyle w:val="28"/>
              <w:spacing w:before="97" w:line="360" w:lineRule="auto"/>
              <w:ind w:left="107"/>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080" w:type="pct"/>
            <w:vAlign w:val="center"/>
          </w:tcPr>
          <w:p>
            <w:pPr>
              <w:pStyle w:val="28"/>
              <w:spacing w:before="99"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单位名称（盖章）</w:t>
            </w:r>
          </w:p>
        </w:tc>
        <w:tc>
          <w:tcPr>
            <w:tcW w:w="3919" w:type="pct"/>
            <w:vAlign w:val="center"/>
          </w:tcPr>
          <w:p>
            <w:pPr>
              <w:pStyle w:val="28"/>
              <w:spacing w:before="99" w:line="360" w:lineRule="auto"/>
              <w:jc w:val="center"/>
              <w:rPr>
                <w:rFonts w:hint="eastAsia"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新兴县水利工程建设管理中心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80" w:type="pct"/>
            <w:vAlign w:val="center"/>
          </w:tcPr>
          <w:p>
            <w:pPr>
              <w:pStyle w:val="28"/>
              <w:spacing w:before="98"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9" w:type="pct"/>
            <w:vAlign w:val="center"/>
          </w:tcPr>
          <w:p>
            <w:pPr>
              <w:pStyle w:val="10"/>
              <w:keepNext w:val="0"/>
              <w:keepLines w:val="0"/>
              <w:pageBreakBefore w:val="0"/>
              <w:widowControl w:val="0"/>
              <w:kinsoku/>
              <w:wordWrap/>
              <w:overflowPunct/>
              <w:topLinePunct w:val="0"/>
              <w:autoSpaceDE w:val="0"/>
              <w:autoSpaceDN w:val="0"/>
              <w:bidi w:val="0"/>
              <w:adjustRightInd/>
              <w:snapToGrid/>
              <w:spacing w:before="0" w:line="360" w:lineRule="auto"/>
              <w:ind w:right="283" w:firstLine="240" w:firstLineChars="100"/>
              <w:jc w:val="center"/>
              <w:textAlignment w:val="auto"/>
              <w:rPr>
                <w:rFonts w:hint="default"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新兴县东利水闸重建工程</w:t>
            </w:r>
            <w:r>
              <w:rPr>
                <w:rFonts w:hint="eastAsia" w:ascii="宋体" w:hAnsi="宋体" w:eastAsia="宋体" w:cs="宋体"/>
                <w:b w:val="0"/>
                <w:bCs w:val="0"/>
                <w:spacing w:val="0"/>
                <w:sz w:val="24"/>
                <w:szCs w:val="24"/>
                <w:lang w:val="en-US" w:eastAsia="zh-CN" w:bidi="zh-CN"/>
              </w:rPr>
              <w:t>监理服务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80" w:type="pct"/>
            <w:vAlign w:val="center"/>
          </w:tcPr>
          <w:p>
            <w:pPr>
              <w:pStyle w:val="28"/>
              <w:spacing w:before="98"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19" w:type="pct"/>
            <w:vAlign w:val="center"/>
          </w:tcPr>
          <w:p>
            <w:pPr>
              <w:pStyle w:val="28"/>
              <w:spacing w:before="99" w:line="360" w:lineRule="auto"/>
              <w:jc w:val="center"/>
              <w:rPr>
                <w:rFonts w:hint="eastAsia"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721,700.00</w:t>
            </w:r>
            <w:r>
              <w:rPr>
                <w:rFonts w:hint="eastAsia" w:ascii="宋体" w:hAnsi="宋体" w:eastAsia="宋体" w:cs="宋体"/>
                <w:b w:val="0"/>
                <w:bCs w:val="0"/>
                <w:spacing w:val="0"/>
                <w:sz w:val="24"/>
                <w:szCs w:val="24"/>
                <w:lang w:val="en-US" w:eastAsia="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080" w:type="pct"/>
            <w:vAlign w:val="center"/>
          </w:tcPr>
          <w:p>
            <w:pPr>
              <w:pStyle w:val="28"/>
              <w:spacing w:before="99" w:line="360" w:lineRule="auto"/>
              <w:jc w:val="center"/>
              <w:rPr>
                <w:rFonts w:hint="eastAsia"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资金来源</w:t>
            </w:r>
          </w:p>
        </w:tc>
        <w:tc>
          <w:tcPr>
            <w:tcW w:w="3919" w:type="pct"/>
            <w:vAlign w:val="center"/>
          </w:tcPr>
          <w:p>
            <w:pPr>
              <w:pStyle w:val="28"/>
              <w:spacing w:before="99" w:line="360" w:lineRule="auto"/>
              <w:jc w:val="left"/>
              <w:rPr>
                <w:rFonts w:hint="default"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highlight w:val="none"/>
                <w:lang w:val="en-US" w:eastAsia="zh-CN" w:bidi="zh-CN"/>
              </w:rPr>
              <w:t>财政性资金</w:t>
            </w:r>
            <w:r>
              <w:rPr>
                <w:rFonts w:hint="eastAsia" w:cs="宋体"/>
                <w:b w:val="0"/>
                <w:bCs w:val="0"/>
                <w:spacing w:val="0"/>
                <w:sz w:val="24"/>
                <w:szCs w:val="24"/>
                <w:highlight w:val="none"/>
                <w:lang w:val="en-US" w:eastAsia="zh-CN" w:bidi="zh-CN"/>
              </w:rPr>
              <w:t>，根据新财农函〔2024〕8号文件，项目资金已落实1900万元, 剩余资金通过争取省级补助资金及地方自筹资金方式解决。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5000" w:type="pct"/>
            <w:gridSpan w:val="2"/>
            <w:vAlign w:val="center"/>
          </w:tcPr>
          <w:p>
            <w:pPr>
              <w:pStyle w:val="28"/>
              <w:spacing w:before="99" w:line="360" w:lineRule="auto"/>
              <w:ind w:left="0" w:leftChars="0" w:firstLine="219" w:firstLineChars="91"/>
              <w:jc w:val="left"/>
              <w:rPr>
                <w:rFonts w:hint="eastAsia" w:ascii="宋体" w:hAnsi="宋体" w:eastAsia="宋体" w:cs="宋体"/>
                <w:b w:val="0"/>
                <w:bCs w:val="0"/>
                <w:spacing w:val="0"/>
                <w:sz w:val="24"/>
                <w:szCs w:val="24"/>
                <w:lang w:val="en-US" w:eastAsia="zh-CN" w:bidi="zh-CN"/>
              </w:rPr>
            </w:pPr>
            <w:r>
              <w:rPr>
                <w:rFonts w:hint="eastAsia" w:ascii="宋体" w:hAnsi="宋体" w:eastAsia="宋体" w:cs="宋体"/>
                <w:b/>
                <w:spacing w:val="0"/>
                <w:sz w:val="24"/>
                <w:szCs w:val="24"/>
                <w:lang w:val="en-US" w:eastAsia="zh-CN"/>
              </w:rPr>
              <w:t>二、项目概况与监理范围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5000" w:type="pct"/>
            <w:gridSpan w:val="2"/>
            <w:vAlign w:val="center"/>
          </w:tcPr>
          <w:p>
            <w:pPr>
              <w:pStyle w:val="28"/>
              <w:spacing w:before="99" w:line="360" w:lineRule="auto"/>
              <w:jc w:val="center"/>
              <w:rPr>
                <w:rFonts w:hint="default" w:ascii="宋体" w:hAnsi="宋体" w:eastAsia="宋体" w:cs="宋体"/>
                <w:b/>
                <w:spacing w:val="0"/>
                <w:sz w:val="24"/>
                <w:szCs w:val="24"/>
                <w:lang w:val="en-US" w:eastAsia="zh-CN"/>
              </w:rPr>
            </w:pPr>
            <w:r>
              <w:rPr>
                <w:rFonts w:hint="eastAsia" w:ascii="宋体" w:hAnsi="宋体" w:eastAsia="宋体" w:cs="宋体"/>
                <w:b/>
                <w:bCs/>
                <w:spacing w:val="0"/>
                <w:kern w:val="0"/>
                <w:sz w:val="24"/>
                <w:szCs w:val="24"/>
                <w:lang w:val="en-US" w:eastAsia="zh-CN" w:bidi="zh-CN"/>
              </w:rPr>
              <w:t>（一）项目建设地点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2"/>
            <w:vAlign w:val="center"/>
          </w:tcPr>
          <w:p>
            <w:pPr>
              <w:pStyle w:val="28"/>
              <w:spacing w:before="99" w:line="360" w:lineRule="auto"/>
              <w:ind w:left="0" w:leftChars="0" w:firstLine="660" w:firstLineChars="275"/>
              <w:jc w:val="left"/>
              <w:rPr>
                <w:rFonts w:hint="eastAsia" w:ascii="宋体" w:hAnsi="宋体" w:eastAsia="宋体" w:cs="宋体"/>
                <w:b/>
                <w:spacing w:val="0"/>
                <w:sz w:val="24"/>
                <w:szCs w:val="24"/>
                <w:lang w:val="en-US" w:eastAsia="zh-CN"/>
              </w:rPr>
            </w:pPr>
            <w:r>
              <w:rPr>
                <w:rFonts w:hint="eastAsia" w:cs="宋体"/>
                <w:kern w:val="0"/>
                <w:sz w:val="24"/>
                <w:szCs w:val="22"/>
                <w:lang w:val="en-US" w:eastAsia="zh-CN" w:bidi="ar"/>
              </w:rPr>
              <w:t>新兴县东成镇境内</w:t>
            </w:r>
            <w:r>
              <w:rPr>
                <w:rFonts w:hint="eastAsia" w:ascii="宋体" w:hAnsi="宋体" w:eastAsia="宋体" w:cs="宋体"/>
                <w:kern w:val="0"/>
                <w:sz w:val="24"/>
                <w:szCs w:val="22"/>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5000" w:type="pct"/>
            <w:gridSpan w:val="2"/>
            <w:vAlign w:val="center"/>
          </w:tcPr>
          <w:p>
            <w:pPr>
              <w:pStyle w:val="28"/>
              <w:spacing w:before="99" w:line="360" w:lineRule="auto"/>
              <w:jc w:val="center"/>
              <w:rPr>
                <w:rFonts w:hint="eastAsia" w:ascii="仿宋_GB2312" w:hAnsi="仿宋_GB2312" w:eastAsia="仿宋_GB2312" w:cs="仿宋_GB2312"/>
                <w:sz w:val="32"/>
                <w:szCs w:val="32"/>
              </w:rPr>
            </w:pPr>
            <w:r>
              <w:rPr>
                <w:rFonts w:hint="eastAsia" w:ascii="宋体" w:hAnsi="宋体" w:eastAsia="宋体" w:cs="宋体"/>
                <w:b/>
                <w:bCs/>
                <w:spacing w:val="0"/>
                <w:kern w:val="0"/>
                <w:sz w:val="24"/>
                <w:szCs w:val="24"/>
                <w:lang w:val="en-US" w:eastAsia="zh-CN" w:bidi="zh-CN"/>
              </w:rPr>
              <w:t>（二）项目建设内容及规模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jc w:val="center"/>
        </w:trPr>
        <w:tc>
          <w:tcPr>
            <w:tcW w:w="5000" w:type="pct"/>
            <w:gridSpan w:val="2"/>
            <w:vAlign w:val="center"/>
          </w:tcPr>
          <w:p>
            <w:pPr>
              <w:pStyle w:val="28"/>
              <w:numPr>
                <w:ilvl w:val="0"/>
                <w:numId w:val="8"/>
              </w:numPr>
              <w:spacing w:before="99" w:line="360" w:lineRule="auto"/>
              <w:ind w:left="660" w:leftChars="0" w:right="246" w:rightChars="112" w:hanging="425" w:firstLineChars="0"/>
              <w:jc w:val="left"/>
              <w:rPr>
                <w:rFonts w:hint="eastAsia" w:ascii="宋体" w:hAnsi="宋体" w:eastAsia="宋体" w:cs="宋体"/>
                <w:kern w:val="0"/>
                <w:sz w:val="24"/>
                <w:szCs w:val="22"/>
                <w:lang w:val="en-US" w:eastAsia="zh-CN" w:bidi="ar"/>
              </w:rPr>
            </w:pPr>
            <w:r>
              <w:rPr>
                <w:rFonts w:hint="eastAsia" w:cs="宋体"/>
                <w:kern w:val="0"/>
                <w:sz w:val="24"/>
                <w:szCs w:val="22"/>
                <w:lang w:val="en-US" w:eastAsia="zh-CN" w:bidi="ar"/>
              </w:rPr>
              <w:t>建设内容：在原闸址处重建拦河闸（7孔，单孔净宽6m）、重建发电引水渠拦污栅、重建灌溉涵闸一座，整治灌溉渠道长50m，对水闸上游左右岸护岸长65m、下游左右岸护岸长100m。</w:t>
            </w:r>
          </w:p>
          <w:p>
            <w:pPr>
              <w:pStyle w:val="28"/>
              <w:numPr>
                <w:ilvl w:val="0"/>
                <w:numId w:val="8"/>
              </w:numPr>
              <w:spacing w:before="99" w:line="360" w:lineRule="auto"/>
              <w:ind w:left="660" w:leftChars="0" w:right="246" w:rightChars="112" w:hanging="425" w:firstLineChars="0"/>
              <w:jc w:val="left"/>
              <w:rPr>
                <w:rFonts w:hint="eastAsia" w:ascii="仿宋_GB2312" w:hAnsi="仿宋_GB2312" w:eastAsia="仿宋_GB2312" w:cs="仿宋_GB2312"/>
                <w:sz w:val="32"/>
                <w:szCs w:val="32"/>
              </w:rPr>
            </w:pPr>
            <w:r>
              <w:rPr>
                <w:rFonts w:hint="eastAsia" w:ascii="宋体" w:hAnsi="宋体" w:eastAsia="宋体" w:cs="宋体"/>
                <w:kern w:val="0"/>
                <w:sz w:val="24"/>
                <w:szCs w:val="22"/>
                <w:lang w:val="en-US" w:eastAsia="zh-CN" w:bidi="ar"/>
              </w:rPr>
              <w:t>工程规模</w:t>
            </w:r>
            <w:r>
              <w:rPr>
                <w:rFonts w:hint="eastAsia" w:cs="宋体"/>
                <w:kern w:val="0"/>
                <w:sz w:val="24"/>
                <w:szCs w:val="22"/>
                <w:lang w:val="en-US" w:eastAsia="zh-CN" w:bidi="ar"/>
              </w:rPr>
              <w:t>：为中型水闸，工程等别为Ⅲ等工程，永久性主要建筑物为3级，次要建筑物为4级，临时性建筑物为5级。设计洪水标准为20年一遇，校核洪水标准为50年一遇。水闸20年一遇洪峰流量690.50m3/s，相应闸前水位为29.30m；50年一遇洪峰流量为841.10m3/s，相应闸前水位为29.97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000" w:type="pct"/>
            <w:gridSpan w:val="2"/>
            <w:vAlign w:val="top"/>
          </w:tcPr>
          <w:p>
            <w:pPr>
              <w:pStyle w:val="28"/>
              <w:keepNext w:val="0"/>
              <w:keepLines w:val="0"/>
              <w:pageBreakBefore w:val="0"/>
              <w:widowControl w:val="0"/>
              <w:kinsoku/>
              <w:wordWrap/>
              <w:overflowPunct/>
              <w:topLinePunct w:val="0"/>
              <w:autoSpaceDE w:val="0"/>
              <w:autoSpaceDN w:val="0"/>
              <w:bidi w:val="0"/>
              <w:adjustRightInd/>
              <w:snapToGrid/>
              <w:spacing w:before="98" w:line="360" w:lineRule="auto"/>
              <w:ind w:right="0" w:rightChars="0"/>
              <w:jc w:val="center"/>
              <w:textAlignment w:val="auto"/>
              <w:rPr>
                <w:rFonts w:hint="eastAsia" w:ascii="宋体" w:hAnsi="宋体" w:eastAsia="宋体" w:cs="宋体"/>
                <w:sz w:val="24"/>
                <w:szCs w:val="24"/>
                <w:lang w:val="en-US" w:eastAsia="zh-CN" w:bidi="zh-CN"/>
              </w:rPr>
            </w:pPr>
            <w:r>
              <w:rPr>
                <w:rFonts w:hint="eastAsia" w:ascii="宋体" w:hAnsi="宋体" w:eastAsia="宋体" w:cs="宋体"/>
                <w:b/>
                <w:bCs/>
                <w:spacing w:val="0"/>
                <w:kern w:val="0"/>
                <w:sz w:val="24"/>
                <w:szCs w:val="24"/>
                <w:lang w:val="en-US" w:eastAsia="zh-CN" w:bidi="zh-CN"/>
              </w:rPr>
              <w:t>（三）监理范围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jc w:val="center"/>
        </w:trPr>
        <w:tc>
          <w:tcPr>
            <w:tcW w:w="5000" w:type="pct"/>
            <w:gridSpan w:val="2"/>
            <w:vAlign w:val="top"/>
          </w:tcPr>
          <w:p>
            <w:pPr>
              <w:pStyle w:val="28"/>
              <w:numPr>
                <w:ilvl w:val="0"/>
                <w:numId w:val="9"/>
              </w:numPr>
              <w:spacing w:before="99" w:line="360" w:lineRule="auto"/>
              <w:ind w:left="660" w:leftChars="0" w:right="246" w:rightChars="112" w:hanging="425" w:firstLineChars="0"/>
              <w:jc w:val="left"/>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工程施工准备阶段、施工阶段、保修阶段的质量、投资、进度控制；控制工程建设的工期、投资和安全文明的施工，进行工程建设的合同管理、信息管理；</w:t>
            </w:r>
          </w:p>
          <w:p>
            <w:pPr>
              <w:pStyle w:val="28"/>
              <w:numPr>
                <w:ilvl w:val="0"/>
                <w:numId w:val="9"/>
              </w:numPr>
              <w:spacing w:before="99" w:line="360" w:lineRule="auto"/>
              <w:ind w:left="660" w:leftChars="0" w:right="246" w:rightChars="112" w:hanging="425" w:firstLineChars="0"/>
              <w:jc w:val="left"/>
              <w:rPr>
                <w:rFonts w:hint="eastAsia" w:ascii="宋体" w:hAnsi="宋体" w:eastAsia="宋体" w:cs="宋体"/>
                <w:sz w:val="24"/>
                <w:szCs w:val="24"/>
                <w:lang w:val="zh-CN" w:eastAsia="zh-CN" w:bidi="zh-CN"/>
              </w:rPr>
            </w:pPr>
            <w:r>
              <w:rPr>
                <w:rFonts w:hint="eastAsia" w:ascii="宋体" w:hAnsi="宋体" w:eastAsia="宋体" w:cs="宋体"/>
                <w:kern w:val="0"/>
                <w:sz w:val="24"/>
                <w:szCs w:val="22"/>
                <w:lang w:val="en-US" w:eastAsia="zh-CN" w:bidi="ar"/>
              </w:rPr>
              <w:t>监督、管理建设工程合同的履行，协调建设单位和工程建设有关各方的工作关系，以及配合项目移交等监理工作。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2"/>
            <w:vAlign w:val="center"/>
          </w:tcPr>
          <w:p>
            <w:pPr>
              <w:pStyle w:val="28"/>
              <w:spacing w:before="99" w:line="360" w:lineRule="auto"/>
              <w:jc w:val="center"/>
              <w:rPr>
                <w:rFonts w:hint="default" w:ascii="仿宋_GB2312" w:hAnsi="仿宋_GB2312" w:eastAsia="仿宋_GB2312" w:cs="仿宋_GB2312"/>
                <w:sz w:val="32"/>
                <w:szCs w:val="32"/>
                <w:lang w:val="en-US"/>
              </w:rPr>
            </w:pPr>
            <w:r>
              <w:rPr>
                <w:rFonts w:hint="eastAsia" w:ascii="宋体" w:hAnsi="宋体" w:eastAsia="宋体" w:cs="宋体"/>
                <w:b/>
                <w:bCs/>
                <w:spacing w:val="0"/>
                <w:kern w:val="0"/>
                <w:sz w:val="24"/>
                <w:szCs w:val="24"/>
                <w:lang w:val="en-US" w:eastAsia="zh-CN" w:bidi="zh-CN"/>
              </w:rPr>
              <w:t>（四）监理服务期限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jc w:val="center"/>
        </w:trPr>
        <w:tc>
          <w:tcPr>
            <w:tcW w:w="5000" w:type="pct"/>
            <w:gridSpan w:val="2"/>
            <w:vAlign w:val="center"/>
          </w:tcPr>
          <w:p>
            <w:pPr>
              <w:pStyle w:val="28"/>
              <w:numPr>
                <w:ilvl w:val="0"/>
                <w:numId w:val="10"/>
              </w:numPr>
              <w:spacing w:before="99" w:line="360" w:lineRule="auto"/>
              <w:ind w:left="660" w:leftChars="0" w:right="246" w:rightChars="112" w:hanging="425" w:firstLineChars="0"/>
              <w:jc w:val="left"/>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施工准备阶段:从成交通知书发出到工程开工之日；</w:t>
            </w:r>
          </w:p>
          <w:p>
            <w:pPr>
              <w:pStyle w:val="28"/>
              <w:numPr>
                <w:ilvl w:val="0"/>
                <w:numId w:val="10"/>
              </w:numPr>
              <w:spacing w:before="99" w:line="360" w:lineRule="auto"/>
              <w:ind w:left="660" w:leftChars="0" w:right="246" w:rightChars="112" w:hanging="425" w:firstLineChars="0"/>
              <w:jc w:val="left"/>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施工阶段监理服务期:从业主下达开工令或开工报告审批之日起至施工项目全部完工并办理竣工验收、竣工结算、备案管理为止；</w:t>
            </w:r>
          </w:p>
          <w:p>
            <w:pPr>
              <w:pStyle w:val="28"/>
              <w:numPr>
                <w:ilvl w:val="0"/>
                <w:numId w:val="10"/>
              </w:numPr>
              <w:spacing w:before="99" w:line="360" w:lineRule="auto"/>
              <w:ind w:left="660" w:leftChars="0" w:right="246" w:rightChars="112" w:hanging="425" w:firstLineChars="0"/>
              <w:jc w:val="left"/>
              <w:rPr>
                <w:rFonts w:hint="eastAsia" w:ascii="宋体" w:hAnsi="宋体" w:eastAsia="宋体" w:cs="宋体"/>
                <w:kern w:val="0"/>
                <w:sz w:val="24"/>
                <w:szCs w:val="22"/>
                <w:lang w:val="en-US" w:eastAsia="zh-CN" w:bidi="ar"/>
              </w:rPr>
            </w:pPr>
            <w:r>
              <w:rPr>
                <w:rFonts w:hint="eastAsia" w:cs="宋体"/>
                <w:kern w:val="0"/>
                <w:sz w:val="24"/>
                <w:szCs w:val="22"/>
                <w:lang w:val="en-US" w:eastAsia="zh-CN" w:bidi="ar"/>
              </w:rPr>
              <w:t>保修</w:t>
            </w:r>
            <w:r>
              <w:rPr>
                <w:rFonts w:hint="eastAsia" w:ascii="宋体" w:hAnsi="宋体" w:eastAsia="宋体" w:cs="宋体"/>
                <w:kern w:val="0"/>
                <w:sz w:val="24"/>
                <w:szCs w:val="22"/>
                <w:lang w:val="en-US" w:eastAsia="zh-CN" w:bidi="ar"/>
              </w:rPr>
              <w:t>阶段监理服务期:从工程移交证书写明的工程完工日起1年；</w:t>
            </w:r>
          </w:p>
          <w:p>
            <w:pPr>
              <w:pStyle w:val="28"/>
              <w:numPr>
                <w:ilvl w:val="0"/>
                <w:numId w:val="10"/>
              </w:numPr>
              <w:spacing w:before="99" w:line="360" w:lineRule="auto"/>
              <w:ind w:left="660" w:leftChars="0" w:right="246" w:rightChars="112" w:hanging="425" w:firstLineChars="0"/>
              <w:jc w:val="left"/>
              <w:rPr>
                <w:rFonts w:hint="eastAsia" w:ascii="仿宋_GB2312" w:hAnsi="仿宋_GB2312" w:eastAsia="仿宋_GB2312" w:cs="仿宋_GB2312"/>
                <w:sz w:val="32"/>
                <w:szCs w:val="32"/>
              </w:rPr>
            </w:pPr>
            <w:r>
              <w:rPr>
                <w:rFonts w:hint="eastAsia" w:ascii="宋体" w:hAnsi="宋体" w:eastAsia="宋体" w:cs="宋体"/>
                <w:kern w:val="0"/>
                <w:sz w:val="24"/>
                <w:szCs w:val="22"/>
                <w:lang w:val="en-US" w:eastAsia="zh-CN" w:bidi="ar"/>
              </w:rPr>
              <w:t>竣工结算期:从结算送审到财政部门终审。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000" w:type="pct"/>
            <w:gridSpan w:val="2"/>
          </w:tcPr>
          <w:p>
            <w:pPr>
              <w:pStyle w:val="28"/>
              <w:spacing w:before="98" w:line="360" w:lineRule="auto"/>
              <w:ind w:left="107"/>
              <w:rPr>
                <w:rFonts w:hint="eastAsia" w:eastAsia="宋体"/>
                <w:b/>
                <w:spacing w:val="0"/>
                <w:sz w:val="21"/>
                <w:lang w:eastAsia="zh-CN"/>
              </w:rPr>
            </w:pPr>
            <w:r>
              <w:rPr>
                <w:rFonts w:hint="eastAsia"/>
                <w:b/>
                <w:spacing w:val="0"/>
                <w:sz w:val="24"/>
                <w:szCs w:val="24"/>
                <w:lang w:val="en-US" w:eastAsia="zh-CN"/>
              </w:rPr>
              <w:t>三</w:t>
            </w:r>
            <w:r>
              <w:rPr>
                <w:b/>
                <w:spacing w:val="0"/>
                <w:sz w:val="24"/>
                <w:szCs w:val="24"/>
              </w:rPr>
              <w:t>、商务</w:t>
            </w:r>
            <w:r>
              <w:rPr>
                <w:rFonts w:hint="eastAsia"/>
                <w:b/>
                <w:spacing w:val="0"/>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2"/>
            <w:vAlign w:val="center"/>
          </w:tcPr>
          <w:p>
            <w:pPr>
              <w:pStyle w:val="28"/>
              <w:spacing w:before="97" w:line="360" w:lineRule="auto"/>
              <w:ind w:left="3248" w:right="3243"/>
              <w:jc w:val="center"/>
              <w:rPr>
                <w:spacing w:val="0"/>
                <w:sz w:val="21"/>
              </w:rPr>
            </w:pPr>
            <w:r>
              <w:rPr>
                <w:rFonts w:hint="eastAsia" w:ascii="宋体" w:hAnsi="宋体" w:eastAsia="宋体" w:cs="宋体"/>
                <w:b/>
                <w:bCs/>
                <w:spacing w:val="0"/>
                <w:kern w:val="0"/>
                <w:sz w:val="24"/>
                <w:szCs w:val="24"/>
                <w:lang w:val="en-US" w:eastAsia="zh-CN" w:bidi="zh-CN"/>
              </w:rPr>
              <w:t>（一）响应供应商资格要求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2"/>
            <w:tcBorders>
              <w:bottom w:val="single" w:color="auto" w:sz="4" w:space="0"/>
            </w:tcBorders>
          </w:tcPr>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供应商应具备《</w:t>
            </w:r>
            <w:r>
              <w:rPr>
                <w:rFonts w:hint="eastAsia" w:ascii="宋体" w:hAnsi="宋体" w:eastAsia="宋体" w:cs="宋体"/>
                <w:lang w:val="en-US" w:eastAsia="zh-CN"/>
              </w:rPr>
              <w:t>中华人民共和国</w:t>
            </w:r>
            <w:r>
              <w:rPr>
                <w:rFonts w:hint="eastAsia" w:ascii="宋体" w:hAnsi="宋体" w:eastAsia="宋体" w:cs="宋体"/>
              </w:rPr>
              <w:t>政府采购法》第二十二条规定的条件，提供下列材料：</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rPr>
              <w:t>具有独立承担民事责任的能力；</w:t>
            </w:r>
            <w:r>
              <w:rPr>
                <w:rFonts w:hint="eastAsia" w:ascii="宋体" w:hAnsi="宋体" w:eastAsia="宋体" w:cs="宋体"/>
                <w:lang w:val="en-US" w:eastAsia="zh-CN"/>
              </w:rPr>
              <w:t>【在中华人民共和国境内注册的法人或其他组织，提供有效营业执照（或事业单位法人证书）副本复印件，如非“多证合一</w:t>
            </w:r>
            <w:r>
              <w:rPr>
                <w:rFonts w:hint="default" w:ascii="宋体" w:hAnsi="宋体" w:eastAsia="宋体" w:cs="宋体"/>
                <w:lang w:val="en-US" w:eastAsia="zh-CN"/>
              </w:rPr>
              <w:t>”</w:t>
            </w:r>
            <w:r>
              <w:rPr>
                <w:rFonts w:hint="eastAsia" w:ascii="宋体" w:hAnsi="宋体" w:eastAsia="宋体" w:cs="宋体"/>
                <w:lang w:val="en-US" w:eastAsia="zh-CN"/>
              </w:rPr>
              <w:t>证照的还须同时提供组织机构代码证和税务登记证副本复印件。】</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lang w:val="en-US" w:eastAsia="zh-CN"/>
              </w:rPr>
              <w:t>具有良好的商业信誉和健全的财务会计制度；【提供承诺函】</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有依法缴纳税收证明和社会保障资金的良好记录；【提供承诺函】</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rPr>
              <w:t>参加采购活动前3年内，在经营活动中没有重大违法记录；</w:t>
            </w:r>
            <w:r>
              <w:rPr>
                <w:rFonts w:hint="eastAsia" w:ascii="宋体" w:hAnsi="宋体" w:eastAsia="宋体" w:cs="宋体"/>
                <w:lang w:val="en-US" w:eastAsia="zh-CN"/>
              </w:rPr>
              <w:t>【提供承诺函】</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rPr>
              <w:t>具有履行合同所必需的设备和专业技术能力；</w:t>
            </w:r>
            <w:r>
              <w:rPr>
                <w:rFonts w:hint="eastAsia" w:ascii="宋体" w:hAnsi="宋体" w:eastAsia="宋体" w:cs="宋体"/>
                <w:lang w:val="en-US" w:eastAsia="zh-CN"/>
              </w:rPr>
              <w:t>【提供承诺函】</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rPr>
              <w:t>供应商必须符合法律、行政法规规定的其他条件</w:t>
            </w:r>
            <w:r>
              <w:rPr>
                <w:rFonts w:hint="eastAsia" w:ascii="宋体" w:hAnsi="宋体" w:eastAsia="宋体" w:cs="宋体"/>
                <w:lang w:eastAsia="zh-CN"/>
              </w:rPr>
              <w:t>。</w:t>
            </w:r>
            <w:r>
              <w:rPr>
                <w:rFonts w:hint="eastAsia" w:ascii="宋体" w:hAnsi="宋体" w:eastAsia="宋体" w:cs="宋体"/>
                <w:lang w:val="en-US" w:eastAsia="zh-CN"/>
              </w:rPr>
              <w:t>【提供承诺函】</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落实政府采购政策需满足的资格要求：</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本项目为专门面向中小企业采购的项目，响应供应商须符合</w:t>
            </w:r>
            <w:r>
              <w:rPr>
                <w:rFonts w:hint="eastAsia" w:ascii="宋体" w:hAnsi="宋体" w:eastAsia="宋体" w:cs="宋体"/>
                <w:b/>
                <w:bCs/>
                <w:lang w:val="en-US" w:eastAsia="zh-CN"/>
              </w:rPr>
              <w:t>其</w:t>
            </w:r>
            <w:r>
              <w:rPr>
                <w:rFonts w:hint="eastAsia" w:ascii="宋体" w:hAnsi="宋体" w:eastAsia="宋体" w:cs="宋体"/>
                <w:b/>
                <w:bCs/>
                <w:sz w:val="24"/>
                <w:szCs w:val="24"/>
                <w:lang w:val="en-US" w:eastAsia="zh-CN"/>
              </w:rPr>
              <w:t>他未列明行业</w:t>
            </w:r>
            <w:r>
              <w:rPr>
                <w:rFonts w:hint="eastAsia" w:ascii="宋体" w:hAnsi="宋体" w:eastAsia="宋体" w:cs="宋体"/>
                <w:sz w:val="24"/>
                <w:szCs w:val="24"/>
                <w:lang w:val="en-US" w:eastAsia="zh-CN"/>
              </w:rPr>
              <w:t>的中</w:t>
            </w:r>
            <w:r>
              <w:rPr>
                <w:rFonts w:hint="eastAsia" w:ascii="宋体" w:hAnsi="宋体" w:eastAsia="宋体" w:cs="宋体"/>
                <w:lang w:val="en-US" w:eastAsia="zh-CN"/>
              </w:rPr>
              <w:t>小企业划分标准。【提供中小企业声明函】</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本项目特定的资格要求：</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r>
              <w:rPr>
                <w:rFonts w:hint="eastAsia" w:cs="宋体"/>
                <w:lang w:val="en-US" w:eastAsia="zh-CN"/>
              </w:rPr>
              <w:t>；</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为采购项目提供整体设计、规范编制或者项目管理、监理、检测等服务的供应商，不得再参加该采购项目的其他采购活动；【提供承诺函】</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本项目不接受联合体投标，不允许分包和转包；【提供承诺函】</w:t>
            </w:r>
          </w:p>
          <w:p>
            <w:pPr>
              <w:pStyle w:val="2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法定代表人或单位负责人与参加本采购项目的其他供应商的法定代表人或单位负责人不为同一人且与其他供应商之间不存在直接控股、管理关系；【提供承诺函】</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供应商须具有效的行政主管部门颁发的工程监理综合资质，或水利工程施工监理乙级（或以上）资质证书；</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jc w:val="both"/>
              <w:textAlignment w:val="auto"/>
              <w:rPr>
                <w:rFonts w:hint="eastAsia" w:ascii="宋体" w:hAnsi="宋体" w:eastAsia="宋体" w:cs="宋体"/>
              </w:rPr>
            </w:pPr>
            <w:r>
              <w:rPr>
                <w:rFonts w:hint="eastAsia" w:ascii="宋体" w:hAnsi="宋体" w:eastAsia="宋体" w:cs="宋体"/>
                <w:highlight w:val="none"/>
                <w:lang w:val="en-US" w:eastAsia="zh-CN"/>
              </w:rPr>
              <w:t>（注：对供应商的资格审查以谈判小组的评审结论为准。）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5000" w:type="pct"/>
            <w:gridSpan w:val="2"/>
            <w:tcBorders>
              <w:bottom w:val="single" w:color="auto" w:sz="4" w:space="0"/>
            </w:tcBorders>
            <w:vAlign w:val="top"/>
          </w:tcPr>
          <w:p>
            <w:pPr>
              <w:pStyle w:val="28"/>
              <w:spacing w:before="98" w:line="360" w:lineRule="auto"/>
              <w:ind w:left="0" w:leftChars="0" w:right="0" w:rightChars="0"/>
              <w:jc w:val="center"/>
              <w:rPr>
                <w:rFonts w:hint="eastAsia" w:ascii="宋体" w:hAnsi="宋体" w:eastAsia="宋体" w:cs="宋体"/>
                <w:spacing w:val="0"/>
                <w:sz w:val="24"/>
                <w:szCs w:val="24"/>
                <w:lang w:val="en-US" w:eastAsia="zh-CN" w:bidi="zh-CN"/>
              </w:rPr>
            </w:pPr>
            <w:r>
              <w:rPr>
                <w:rFonts w:hint="eastAsia" w:ascii="宋体" w:hAnsi="宋体" w:eastAsia="宋体" w:cs="宋体"/>
                <w:b/>
                <w:bCs/>
                <w:spacing w:val="0"/>
                <w:kern w:val="0"/>
                <w:sz w:val="24"/>
                <w:szCs w:val="24"/>
                <w:lang w:val="en-US" w:eastAsia="zh-CN" w:bidi="zh-CN"/>
              </w:rPr>
              <w:t>（二）监理要求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top"/>
          </w:tcPr>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质量控制目标:达到施工合同约定质量标准，验收合格；</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投资控制目标:控制在施工合同造价范围内；</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进度控制目标:控制在施工合同约定工期内；</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安全管理目标:按照国家及地方安全监理规定实施。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top"/>
          </w:tcPr>
          <w:p>
            <w:pPr>
              <w:pStyle w:val="28"/>
              <w:keepNext w:val="0"/>
              <w:keepLines w:val="0"/>
              <w:pageBreakBefore w:val="0"/>
              <w:widowControl w:val="0"/>
              <w:kinsoku/>
              <w:wordWrap/>
              <w:overflowPunct/>
              <w:topLinePunct w:val="0"/>
              <w:autoSpaceDE w:val="0"/>
              <w:autoSpaceDN w:val="0"/>
              <w:bidi w:val="0"/>
              <w:adjustRightInd/>
              <w:snapToGrid/>
              <w:spacing w:before="98" w:line="360" w:lineRule="auto"/>
              <w:ind w:left="22" w:leftChars="10" w:right="0" w:rightChars="0"/>
              <w:jc w:val="center"/>
              <w:textAlignment w:val="auto"/>
              <w:rPr>
                <w:rFonts w:hint="eastAsia" w:ascii="宋体" w:hAnsi="宋体" w:eastAsia="宋体" w:cs="宋体"/>
                <w:sz w:val="24"/>
                <w:szCs w:val="24"/>
                <w:lang w:val="en-US"/>
              </w:rPr>
            </w:pPr>
            <w:r>
              <w:rPr>
                <w:rFonts w:hint="eastAsia" w:ascii="宋体" w:hAnsi="宋体" w:eastAsia="宋体" w:cs="宋体"/>
                <w:b/>
                <w:bCs/>
                <w:spacing w:val="0"/>
                <w:kern w:val="0"/>
                <w:sz w:val="24"/>
                <w:szCs w:val="24"/>
                <w:lang w:val="en-US" w:eastAsia="zh-CN" w:bidi="zh-CN"/>
              </w:rPr>
              <w:t>（三）付款方式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jc w:val="center"/>
        </w:trPr>
        <w:tc>
          <w:tcPr>
            <w:tcW w:w="5000" w:type="pct"/>
            <w:gridSpan w:val="2"/>
            <w:tcBorders>
              <w:bottom w:val="single" w:color="auto" w:sz="4" w:space="0"/>
            </w:tcBorders>
            <w:vAlign w:val="top"/>
          </w:tcPr>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采用分期付款方式：</w:t>
            </w:r>
          </w:p>
          <w:p>
            <w:pPr>
              <w:pStyle w:val="27"/>
              <w:numPr>
                <w:ilvl w:val="0"/>
                <w:numId w:val="0"/>
              </w:numPr>
              <w:tabs>
                <w:tab w:val="left" w:pos="426"/>
              </w:tabs>
              <w:spacing w:line="360" w:lineRule="auto"/>
              <w:ind w:left="440" w:leftChars="200" w:right="255" w:rightChars="116" w:firstLine="218" w:firstLineChars="91"/>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根据工程建设的情况，分阶段支付监理报酬：</w:t>
            </w:r>
          </w:p>
          <w:p>
            <w:pPr>
              <w:pStyle w:val="20"/>
              <w:keepNext w:val="0"/>
              <w:keepLines w:val="0"/>
              <w:pageBreakBefore w:val="0"/>
              <w:widowControl/>
              <w:numPr>
                <w:ilvl w:val="1"/>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预付款：在资金落实且在签订合同后15天内，支付监理签约合同监理费的30%；</w:t>
            </w:r>
          </w:p>
          <w:p>
            <w:pPr>
              <w:pStyle w:val="20"/>
              <w:keepNext w:val="0"/>
              <w:keepLines w:val="0"/>
              <w:pageBreakBefore w:val="0"/>
              <w:widowControl/>
              <w:numPr>
                <w:ilvl w:val="1"/>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进度款：按施工进度和结合工程进度款支付的进度确定监理费进度款，按施工进度款申请结合实际完成的工程量支付监理费合同价的60%，监理费进度款支付至监理费合同价的60%时停止支付；</w:t>
            </w:r>
          </w:p>
          <w:p>
            <w:pPr>
              <w:pStyle w:val="20"/>
              <w:keepNext w:val="0"/>
              <w:keepLines w:val="0"/>
              <w:pageBreakBefore w:val="0"/>
              <w:widowControl/>
              <w:numPr>
                <w:ilvl w:val="1"/>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完工付款：工程通过完工验收后的15天内，支付至监理费合同价的97%；</w:t>
            </w:r>
          </w:p>
          <w:p>
            <w:pPr>
              <w:pStyle w:val="20"/>
              <w:keepNext w:val="0"/>
              <w:keepLines w:val="0"/>
              <w:pageBreakBefore w:val="0"/>
              <w:widowControl/>
              <w:numPr>
                <w:ilvl w:val="1"/>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最终支付：工程完工验收通过之日起期满一年后（即保修责任期结束后）的15 天内，支付监理费结算价的3%。</w:t>
            </w:r>
          </w:p>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付款形式：采用支票、银行汇付（含电汇）等形式。</w:t>
            </w:r>
          </w:p>
          <w:p>
            <w:pPr>
              <w:pStyle w:val="27"/>
              <w:tabs>
                <w:tab w:val="left" w:pos="426"/>
              </w:tabs>
              <w:spacing w:line="360" w:lineRule="auto"/>
              <w:ind w:left="220" w:leftChars="100" w:firstLine="439" w:firstLineChars="183"/>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每笔款项支付时，</w:t>
            </w:r>
            <w:r>
              <w:rPr>
                <w:rFonts w:hint="eastAsia" w:cs="宋体"/>
                <w:kern w:val="0"/>
                <w:sz w:val="24"/>
                <w:szCs w:val="22"/>
                <w:lang w:val="en-US" w:eastAsia="zh-CN" w:bidi="ar"/>
              </w:rPr>
              <w:t>成交供应商</w:t>
            </w:r>
            <w:r>
              <w:rPr>
                <w:rFonts w:hint="eastAsia" w:ascii="宋体" w:hAnsi="宋体" w:eastAsia="宋体" w:cs="宋体"/>
                <w:kern w:val="0"/>
                <w:sz w:val="24"/>
                <w:szCs w:val="22"/>
                <w:lang w:val="en-US" w:eastAsia="zh-CN" w:bidi="ar"/>
              </w:rPr>
              <w:t>时向</w:t>
            </w:r>
            <w:r>
              <w:rPr>
                <w:rFonts w:hint="eastAsia" w:cs="宋体"/>
                <w:kern w:val="0"/>
                <w:sz w:val="24"/>
                <w:szCs w:val="22"/>
                <w:lang w:val="en-US" w:eastAsia="zh-CN" w:bidi="ar"/>
              </w:rPr>
              <w:t>采购人</w:t>
            </w:r>
            <w:r>
              <w:rPr>
                <w:rFonts w:hint="eastAsia" w:ascii="宋体" w:hAnsi="宋体" w:eastAsia="宋体" w:cs="宋体"/>
                <w:kern w:val="0"/>
                <w:sz w:val="24"/>
                <w:szCs w:val="22"/>
                <w:lang w:val="en-US" w:eastAsia="zh-CN" w:bidi="ar"/>
              </w:rPr>
              <w:t>提供相应金额的收款凭证。</w:t>
            </w:r>
          </w:p>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sz w:val="24"/>
                <w:szCs w:val="24"/>
              </w:rPr>
            </w:pPr>
            <w:r>
              <w:rPr>
                <w:rFonts w:hint="eastAsia" w:ascii="宋体" w:hAnsi="宋体" w:eastAsia="宋体" w:cs="宋体"/>
                <w:kern w:val="0"/>
                <w:sz w:val="24"/>
                <w:szCs w:val="22"/>
                <w:lang w:val="en-US" w:eastAsia="zh-CN" w:bidi="ar"/>
              </w:rPr>
              <w:t>上述款项的付款时间为采购人向政府采购支付部门提出的支付申请的时间（不含政府财政支付部门审查的时间）。成交供应商承诺在付款期限内采购人已向政府采购支付部门提出支付申请的，不视为采购人逾期和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（四）报价方式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jc w:val="center"/>
        </w:trPr>
        <w:tc>
          <w:tcPr>
            <w:tcW w:w="5000" w:type="pct"/>
            <w:gridSpan w:val="2"/>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10560"/>
              </w:tabs>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left"/>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kern w:val="0"/>
                <w:sz w:val="24"/>
                <w:szCs w:val="22"/>
                <w:lang w:val="en-US" w:eastAsia="zh-CN" w:bidi="ar"/>
              </w:rPr>
              <w:t>报价应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合同期内采购人不再另行增加其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5000" w:type="pct"/>
            <w:gridSpan w:val="2"/>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（五）监理内容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5000" w:type="pct"/>
            <w:gridSpan w:val="2"/>
            <w:vAlign w:val="center"/>
          </w:tcPr>
          <w:p>
            <w:pPr>
              <w:keepNext w:val="0"/>
              <w:keepLines w:val="0"/>
              <w:widowControl/>
              <w:suppressLineNumbers w:val="0"/>
              <w:spacing w:line="360" w:lineRule="auto"/>
              <w:ind w:left="220" w:leftChars="100" w:right="255" w:rightChars="116" w:firstLine="439" w:firstLineChars="183"/>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质量控制、投资控制及进度控制，合同管理、信息管理与安全文明施工管理，组织协调，工程竣工结算审核协助等监理工作，包括以下内容：</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前期阶段：向委托人介绍有关报建程序和手续，协助委托人办理报建。</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施工准备阶段：</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审核工程招标文件（含招标工程量清单），提供专业意见；</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审核有关政府采购项目文件（含采购清单），提供专业意见；</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审核有关合同文件，提供专业意见，并根据委托人需要参加合同谈判；</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负责协调承包人进场前的现场准备和制定勘察清障方案，为承包人进场制定前期准备方案并组织实施；</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编制工程项目监理规划和监理细则交委托人批准，作为开展工程建设监理的指导文件和委托人检查监理工作的依据；</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制订重点质监项目的质量预控措施；</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审核施工图，参与设计技术交底和寻找通过设计挖潜节约投资的可能；</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负责协调好工程建设开工前的报建、报装手续，协调好外部关系为下达开工令作好准备；</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作好开工前对承包人的检查工作。</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施工阶段：</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在开工前组织施工图会审；</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对承包人选择的分包人的资格进行审查并报委托人确认；</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审查由承包人编制，并经承包人的技术部门审批盖章的施工组织设计、施工方案及施工进度计划，并督促检查实施；</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协助审批各单项工程开工报告，参与技术交底和施工图纸的会审；</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按监理规范、设计文件、施工规范对工程的施工质量、安全、文明施工、进度、投资进行监理。</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严格审查用于本工程的材料和设备是否符合设计要求，对用于工程材料的出厂合格证、检验（试验）单等进行核定并存档，如发现不实之处，有权报委托人同意后，责成承包人对材质进行再检验（并指定检验单位），防止不合格的材料、构件等用于本工程。检验合格者，检测费用由委托人支付，不合格者，检验费用由承包人支付。对不符合质量标准的材料和设备，现场监理有权拒收或责令退场；</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督促承包人严格执行合同和严格按照国家技术规范、标准、规程以设计图纸文件的要求进行施工、安装、并检查其实施情况；核查施工过程中的主要部位、环节以及隐蔽工程的施工验收签证，控制工程质量。对违反规范、标准和图纸的施工，现场监理须向委托人提供意见，并责令停工，所造成的损失由承包人负责；</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检查承包人每月的进度报表，监督承包人的工程进度，督促承包人按计划进度进行施工；</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根据施工承发包合同的规定和定额精神，审核设计变更、工程变更及现场签证项目预算造价；</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审查工程中出现的质量事故，分析事故的原因和责任，提出处理意见，督促承包商组成事故处理小组及时处理事故；</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关于重大的设计修改和技术洽商，除提出监理意见外，应征得委托人及设计人的意见，通知原设计人进行修改；</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定期组织主持现场工程协调会议，负责协调各承包人的配合穿插施工安排；</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督促承包商文明施工、健全安全生产防护措施，督促安全防护、文明施工措施费的拨付及专款专用，防止环境污染，防止安全事故；若发生安全事故时，督促承包人迅速采取措施，减少事故对工程的影响，事后配合有关部门查明事故原因，恢复施工生产；</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编写监理阶段月报、季报、年报和竣工总结。及时、准确、详细地做好施工全过程记录、监理会议纪要、监理日记、竣工记录等，并进行分类，且提交一份复印件交甲方归档；</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督促承包人落实委托人对工程范围内的有关要求；</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协助审批工程进度款；</w:t>
            </w:r>
          </w:p>
          <w:p>
            <w:pPr>
              <w:pStyle w:val="20"/>
              <w:keepNext w:val="0"/>
              <w:keepLines w:val="0"/>
              <w:pageBreakBefore w:val="0"/>
              <w:widowControl/>
              <w:numPr>
                <w:ilvl w:val="2"/>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工程变更出现新增材料设备时，协助委托人进行询价、定价工作。</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监理人协助委托人负责红线外供电、供水、电讯、消防、热力、市政排水、道路、煤气、环保、绿化、卫生防疫等专业工程的报批、缴费、委托设计、施工及验收；</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在监理服务期内，办理现场监理人员和财产的有关保险，保险时间应随服务时间的延长而延，并在出险后自行办理索赔。如果监理人不办理上述保险，则应对有关风险及后果自行负责；</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按现行法规或规范规定监理单位应完成的其它工作。</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验收阶段：</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highlight w:val="none"/>
                <w:lang w:val="en-US" w:eastAsia="zh-CN" w:bidi="ar"/>
              </w:rPr>
              <w:t>根据承包人提出的阶段、部位、环节、各系统的分部分项工程质量进行全面检查，确保工程符合设计要求和规范标准等完工验收工作以及整体工程竣工申请报告，负责组织初验，签署由承包人提出的全部工程竣工验收报告，参加监管部门组织的竣工验收；</w:t>
            </w:r>
            <w:r>
              <w:rPr>
                <w:rFonts w:hint="eastAsia" w:ascii="宋体" w:hAnsi="宋体" w:eastAsia="宋体" w:cs="宋体"/>
                <w:color w:val="000000"/>
                <w:kern w:val="0"/>
                <w:sz w:val="24"/>
                <w:szCs w:val="24"/>
                <w:lang w:val="en-US" w:eastAsia="zh-CN" w:bidi="ar"/>
              </w:rPr>
              <w:t xml:space="preserve"> </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与委托人一起开列工程上有缺陷及未完成部分清单； </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承包人将有缺陷部分完成修复后，组织重新进行验收； </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根据市城建档案馆有关规定，督促并审查承包商完成竣工资料的整理，资料齐全合格后，交委托人归档；协助委托人整理、编制工程城建档案交城建档案馆验收。</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竣工结算阶段</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指导承包人及时整理工程结算相关资料；</w:t>
            </w:r>
          </w:p>
          <w:p>
            <w:pPr>
              <w:pStyle w:val="20"/>
              <w:keepNext w:val="0"/>
              <w:keepLines w:val="0"/>
              <w:pageBreakBefore w:val="0"/>
              <w:widowControl/>
              <w:numPr>
                <w:ilvl w:val="1"/>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按照财政审核的要求，审查承包人提交的竣工结算材料及施工图纸，提出整改意见；</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保修期阶段 </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0" w:leftChars="0" w:right="255" w:rightChars="116"/>
              <w:jc w:val="both"/>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协助业主进行工程投入使用后的工程回访和保修工程的鉴证和核实。</w:t>
            </w:r>
          </w:p>
          <w:p>
            <w:pPr>
              <w:numPr>
                <w:ilvl w:val="0"/>
                <w:numId w:val="0"/>
              </w:numPr>
              <w:spacing w:line="360" w:lineRule="auto"/>
              <w:ind w:leftChars="-79" w:right="0" w:rightChars="0"/>
              <w:rPr>
                <w:rFonts w:hint="eastAsia" w:ascii="宋体" w:hAnsi="宋体" w:eastAsia="宋体" w:cs="宋体"/>
                <w:spacing w:val="0"/>
                <w:kern w:val="0"/>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5000" w:type="pct"/>
            <w:gridSpan w:val="2"/>
            <w:tcBorders>
              <w:bottom w:val="single" w:color="auto" w:sz="4" w:space="0"/>
            </w:tcBorders>
            <w:vAlign w:val="center"/>
          </w:tcPr>
          <w:p>
            <w:pPr>
              <w:pStyle w:val="27"/>
              <w:numPr>
                <w:ilvl w:val="0"/>
                <w:numId w:val="0"/>
              </w:numPr>
              <w:tabs>
                <w:tab w:val="left" w:pos="426"/>
              </w:tabs>
              <w:spacing w:line="360" w:lineRule="auto"/>
              <w:ind w:left="0" w:leftChars="0" w:right="0" w:rightChars="0" w:firstLine="0" w:firstLineChars="0"/>
              <w:jc w:val="center"/>
              <w:rPr>
                <w:rFonts w:hint="eastAsia" w:ascii="宋体" w:hAnsi="宋体" w:eastAsia="宋体" w:cs="宋体"/>
                <w:b/>
                <w:spacing w:val="0"/>
                <w:sz w:val="24"/>
                <w:szCs w:val="24"/>
                <w:lang w:val="en-US" w:eastAsia="zh-CN" w:bidi="zh-CN"/>
              </w:rPr>
            </w:pPr>
            <w:r>
              <w:rPr>
                <w:rFonts w:hint="eastAsia" w:ascii="宋体" w:hAnsi="宋体" w:eastAsia="宋体" w:cs="宋体"/>
                <w:b/>
                <w:bCs/>
                <w:spacing w:val="0"/>
                <w:kern w:val="0"/>
                <w:sz w:val="24"/>
                <w:szCs w:val="24"/>
                <w:lang w:val="en-US" w:eastAsia="zh-CN" w:bidi="zh-CN"/>
              </w:rPr>
              <w:t>（</w:t>
            </w:r>
            <w:r>
              <w:rPr>
                <w:rFonts w:hint="eastAsia" w:cs="宋体"/>
                <w:b/>
                <w:bCs/>
                <w:spacing w:val="0"/>
                <w:kern w:val="0"/>
                <w:sz w:val="24"/>
                <w:szCs w:val="24"/>
                <w:lang w:val="en-US" w:eastAsia="zh-CN" w:bidi="zh-CN"/>
              </w:rPr>
              <w:t>六</w:t>
            </w:r>
            <w:r>
              <w:rPr>
                <w:rFonts w:hint="eastAsia" w:ascii="宋体" w:hAnsi="宋体" w:eastAsia="宋体" w:cs="宋体"/>
                <w:b/>
                <w:bCs/>
                <w:spacing w:val="0"/>
                <w:kern w:val="0"/>
                <w:sz w:val="24"/>
                <w:szCs w:val="24"/>
                <w:lang w:val="en-US" w:eastAsia="zh-CN" w:bidi="zh-CN"/>
              </w:rPr>
              <w:t>）人员配置要求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0" w:hRule="atLeast"/>
          <w:jc w:val="center"/>
        </w:trPr>
        <w:tc>
          <w:tcPr>
            <w:tcW w:w="0" w:type="auto"/>
            <w:gridSpan w:val="2"/>
            <w:vAlign w:val="center"/>
          </w:tcPr>
          <w:tbl>
            <w:tblPr>
              <w:tblStyle w:val="22"/>
              <w:tblpPr w:leftFromText="180" w:rightFromText="180" w:vertAnchor="text" w:horzAnchor="page" w:tblpX="136" w:tblpY="17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4"/>
              <w:gridCol w:w="5114"/>
              <w:gridCol w:w="89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6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99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职务/专业</w:t>
                  </w:r>
                </w:p>
              </w:tc>
              <w:tc>
                <w:tcPr>
                  <w:tcW w:w="2582"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职称/资格要求</w:t>
                  </w:r>
                </w:p>
              </w:tc>
              <w:tc>
                <w:tcPr>
                  <w:tcW w:w="450"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人数</w:t>
                  </w:r>
                </w:p>
              </w:tc>
              <w:tc>
                <w:tcPr>
                  <w:tcW w:w="604"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6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99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总监理工程师</w:t>
                  </w:r>
                </w:p>
              </w:tc>
              <w:tc>
                <w:tcPr>
                  <w:tcW w:w="2582" w:type="pct"/>
                  <w:vAlign w:val="center"/>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《全国水利工程建设监理工程师资格证书》或有效的《中华人民共和国监理工程师注册证书》（注册专业类别为：水利工程）</w:t>
                  </w: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在供应商本单位执业的监理高级工程师或以上职称证，专业为水利工程专业</w:t>
                  </w:r>
                  <w:r>
                    <w:rPr>
                      <w:rFonts w:hint="eastAsia" w:ascii="宋体" w:hAnsi="宋体" w:eastAsia="宋体" w:cs="宋体"/>
                      <w:sz w:val="24"/>
                      <w:szCs w:val="24"/>
                      <w:highlight w:val="none"/>
                      <w:lang w:val="zh-CN"/>
                    </w:rPr>
                    <w:t>。</w:t>
                  </w:r>
                </w:p>
              </w:tc>
              <w:tc>
                <w:tcPr>
                  <w:tcW w:w="450"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604" w:type="pct"/>
                  <w:vMerge w:val="restar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996"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专业监理工程师</w:t>
                  </w:r>
                </w:p>
              </w:tc>
              <w:tc>
                <w:tcPr>
                  <w:tcW w:w="2582" w:type="pct"/>
                  <w:vAlign w:val="center"/>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《全国水利工程建设监理工程师资格证书》或有效的《中华人民共和国监理工程师注册证书》（注册专业类别为：水利工程）</w:t>
                  </w: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在供应商本单位执业的监理工程师职称证，专业为水利工程专业。</w:t>
                  </w:r>
                </w:p>
              </w:tc>
              <w:tc>
                <w:tcPr>
                  <w:tcW w:w="450" w:type="pct"/>
                  <w:vAlign w:val="center"/>
                </w:tcPr>
                <w:p>
                  <w:pPr>
                    <w:spacing w:line="360" w:lineRule="auto"/>
                    <w:jc w:val="center"/>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1</w:t>
                  </w:r>
                </w:p>
              </w:tc>
              <w:tc>
                <w:tcPr>
                  <w:tcW w:w="604" w:type="pct"/>
                  <w:vMerge w:val="continue"/>
                  <w:vAlign w:val="center"/>
                </w:tcPr>
                <w:p>
                  <w:pPr>
                    <w:spacing w:line="360" w:lineRule="auto"/>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66" w:type="pct"/>
                  <w:vAlign w:val="center"/>
                </w:tcPr>
                <w:p>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996" w:type="pct"/>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监理员</w:t>
                  </w:r>
                </w:p>
              </w:tc>
              <w:tc>
                <w:tcPr>
                  <w:tcW w:w="2582" w:type="pct"/>
                  <w:vAlign w:val="center"/>
                </w:tcPr>
                <w:p>
                  <w:pPr>
                    <w:spacing w:line="360" w:lineRule="auto"/>
                    <w:rPr>
                      <w:rFonts w:hint="eastAsia" w:ascii="宋体" w:hAnsi="宋体" w:eastAsia="宋体" w:cs="宋体"/>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《全国水利工程建设监理工程师资格证书》或有效的《中华人民共和国监理工程师注册证书》（注册专业类别为：水利工程）；</w:t>
                  </w: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在供应商本单位执业的监理工程师或监理员或助理工程师或以上职称证，专业为水利工程专业。</w:t>
                  </w:r>
                </w:p>
              </w:tc>
              <w:tc>
                <w:tcPr>
                  <w:tcW w:w="450" w:type="pct"/>
                  <w:vAlign w:val="center"/>
                </w:tcPr>
                <w:p>
                  <w:pPr>
                    <w:spacing w:line="360" w:lineRule="auto"/>
                    <w:jc w:val="center"/>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2</w:t>
                  </w:r>
                </w:p>
              </w:tc>
              <w:tc>
                <w:tcPr>
                  <w:tcW w:w="604" w:type="pct"/>
                  <w:vMerge w:val="continue"/>
                  <w:vAlign w:val="center"/>
                </w:tcPr>
                <w:p>
                  <w:pPr>
                    <w:spacing w:line="360" w:lineRule="auto"/>
                    <w:jc w:val="center"/>
                    <w:rPr>
                      <w:rFonts w:hint="eastAsia"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5"/>
                  <w:vAlign w:val="center"/>
                </w:tcPr>
                <w:p>
                  <w:pPr>
                    <w:spacing w:line="36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p>
                  <w:pPr>
                    <w:numPr>
                      <w:ilvl w:val="0"/>
                      <w:numId w:val="0"/>
                    </w:numPr>
                    <w:spacing w:line="360" w:lineRule="auto"/>
                    <w:ind w:right="0" w:rightChars="0"/>
                    <w:jc w:val="left"/>
                    <w:rPr>
                      <w:rFonts w:hint="eastAsia" w:cs="宋体"/>
                      <w:b/>
                      <w:bCs/>
                      <w:sz w:val="24"/>
                      <w:szCs w:val="24"/>
                      <w:highlight w:val="none"/>
                      <w:lang w:val="zh-CN"/>
                    </w:rPr>
                  </w:pPr>
                  <w:r>
                    <w:rPr>
                      <w:rFonts w:hint="eastAsia" w:cs="宋体"/>
                      <w:b/>
                      <w:bCs/>
                      <w:sz w:val="24"/>
                      <w:szCs w:val="24"/>
                      <w:highlight w:val="none"/>
                      <w:lang w:val="en-US" w:eastAsia="zh-CN"/>
                    </w:rPr>
                    <w:t>1.</w:t>
                  </w:r>
                  <w:r>
                    <w:rPr>
                      <w:rFonts w:hint="eastAsia" w:ascii="宋体" w:hAnsi="宋体" w:eastAsia="宋体" w:cs="宋体"/>
                      <w:b/>
                      <w:bCs/>
                      <w:sz w:val="24"/>
                      <w:szCs w:val="24"/>
                      <w:highlight w:val="none"/>
                      <w:lang w:val="zh-CN"/>
                    </w:rPr>
                    <w:t>为确保本工程的顺利实施，现场施工旁站最少监理人员参照本表配套</w:t>
                  </w:r>
                  <w:r>
                    <w:rPr>
                      <w:rFonts w:hint="eastAsia" w:cs="宋体"/>
                      <w:b/>
                      <w:bCs/>
                      <w:sz w:val="24"/>
                      <w:szCs w:val="24"/>
                      <w:highlight w:val="none"/>
                      <w:lang w:val="zh-CN"/>
                    </w:rPr>
                    <w:t>；</w:t>
                  </w:r>
                </w:p>
                <w:p>
                  <w:pPr>
                    <w:numPr>
                      <w:ilvl w:val="0"/>
                      <w:numId w:val="0"/>
                    </w:numPr>
                    <w:spacing w:line="360" w:lineRule="auto"/>
                    <w:ind w:right="0" w:rightChars="0"/>
                    <w:jc w:val="left"/>
                    <w:rPr>
                      <w:rFonts w:hint="eastAsia" w:ascii="宋体" w:hAnsi="宋体" w:eastAsia="宋体" w:cs="宋体"/>
                      <w:sz w:val="24"/>
                      <w:szCs w:val="24"/>
                      <w:highlight w:val="none"/>
                      <w:lang w:val="zh-CN"/>
                    </w:rPr>
                  </w:pPr>
                  <w:r>
                    <w:rPr>
                      <w:rFonts w:hint="eastAsia" w:cs="宋体"/>
                      <w:b/>
                      <w:bCs/>
                      <w:sz w:val="24"/>
                      <w:szCs w:val="24"/>
                      <w:highlight w:val="none"/>
                      <w:lang w:val="en-US" w:eastAsia="zh-CN"/>
                    </w:rPr>
                    <w:t>2.在项目进行过程中，当监理人员配置不能满足工作需要时</w:t>
                  </w:r>
                  <w:r>
                    <w:rPr>
                      <w:rFonts w:hint="eastAsia" w:ascii="宋体" w:hAnsi="宋体" w:eastAsia="宋体" w:cs="宋体"/>
                      <w:b/>
                      <w:bCs/>
                      <w:sz w:val="24"/>
                      <w:szCs w:val="24"/>
                      <w:highlight w:val="none"/>
                      <w:lang w:val="zh-CN"/>
                    </w:rPr>
                    <w:t>，总监理工程师要根据项目的实际情况增加</w:t>
                  </w:r>
                  <w:r>
                    <w:rPr>
                      <w:rFonts w:hint="eastAsia" w:cs="宋体"/>
                      <w:b/>
                      <w:bCs/>
                      <w:sz w:val="24"/>
                      <w:szCs w:val="24"/>
                      <w:highlight w:val="none"/>
                      <w:lang w:val="en-US" w:eastAsia="zh-CN"/>
                    </w:rPr>
                    <w:t>监理</w:t>
                  </w:r>
                  <w:r>
                    <w:rPr>
                      <w:rFonts w:hint="eastAsia" w:ascii="宋体" w:hAnsi="宋体" w:eastAsia="宋体" w:cs="宋体"/>
                      <w:b/>
                      <w:bCs/>
                      <w:sz w:val="24"/>
                      <w:szCs w:val="24"/>
                      <w:highlight w:val="none"/>
                      <w:lang w:val="zh-CN"/>
                    </w:rPr>
                    <w:t>人员的数量，以确保项目的顺利进行。</w:t>
                  </w:r>
                </w:p>
              </w:tc>
            </w:tr>
          </w:tbl>
          <w:p>
            <w:pPr>
              <w:bidi w:val="0"/>
              <w:jc w:val="left"/>
              <w:rPr>
                <w:rFonts w:hint="eastAsia" w:ascii="宋体" w:hAnsi="宋体" w:eastAsia="宋体" w:cs="宋体"/>
                <w:sz w:val="22"/>
                <w:szCs w:val="22"/>
                <w:lang w:val="en-US" w:eastAsia="zh-CN" w:bidi="zh-CN"/>
              </w:rPr>
            </w:pPr>
          </w:p>
        </w:tc>
      </w:tr>
    </w:tbl>
    <w:p>
      <w:pPr>
        <w:pStyle w:val="10"/>
        <w:rPr>
          <w:rFonts w:hint="eastAsia" w:ascii="仿宋" w:hAnsi="仿宋" w:eastAsia="仿宋" w:cs="仿宋"/>
          <w:sz w:val="22"/>
          <w:szCs w:val="2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3"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3"/>
      <w:bookmarkStart w:id="14"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4"/>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1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15" w:name="1.适用范围"/>
      <w:bookmarkEnd w:id="15"/>
      <w:r>
        <w:rPr>
          <w:rFonts w:hint="eastAsia" w:ascii="仿宋" w:hAnsi="仿宋" w:eastAsia="仿宋" w:cs="仿宋"/>
        </w:rPr>
        <w:t>适用范围</w:t>
      </w:r>
    </w:p>
    <w:p>
      <w:pPr>
        <w:pStyle w:val="27"/>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7"/>
        <w:numPr>
          <w:ilvl w:val="1"/>
          <w:numId w:val="1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16" w:name="2.定义"/>
      <w:bookmarkEnd w:id="16"/>
      <w:r>
        <w:rPr>
          <w:rFonts w:hint="eastAsia" w:ascii="仿宋" w:hAnsi="仿宋" w:eastAsia="仿宋" w:cs="仿宋"/>
        </w:rPr>
        <w:t>定义</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新兴县水利工程建设管理中心</w:t>
      </w:r>
      <w:r>
        <w:rPr>
          <w:rFonts w:hint="eastAsia" w:ascii="仿宋" w:hAnsi="仿宋" w:eastAsia="仿宋" w:cs="仿宋"/>
          <w:sz w:val="21"/>
          <w:highlight w:val="none"/>
        </w:rPr>
        <w:t>。</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7"/>
        <w:numPr>
          <w:ilvl w:val="0"/>
          <w:numId w:val="19"/>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7"/>
        <w:numPr>
          <w:ilvl w:val="1"/>
          <w:numId w:val="1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7"/>
        <w:numPr>
          <w:ilvl w:val="1"/>
          <w:numId w:val="18"/>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18"/>
        </w:numPr>
        <w:tabs>
          <w:tab w:val="left" w:pos="657"/>
        </w:tabs>
        <w:spacing w:before="3" w:after="0" w:line="360" w:lineRule="auto"/>
        <w:ind w:left="656" w:right="0" w:hanging="342"/>
        <w:jc w:val="left"/>
        <w:rPr>
          <w:rFonts w:hint="eastAsia" w:ascii="仿宋" w:hAnsi="仿宋" w:eastAsia="仿宋" w:cs="仿宋"/>
          <w:b/>
          <w:sz w:val="27"/>
        </w:rPr>
      </w:pPr>
      <w:bookmarkStart w:id="17" w:name="3.合格的货物和服务"/>
      <w:bookmarkEnd w:id="17"/>
      <w:r>
        <w:rPr>
          <w:rFonts w:hint="eastAsia" w:ascii="仿宋" w:hAnsi="仿宋" w:eastAsia="仿宋" w:cs="仿宋"/>
        </w:rPr>
        <w:t>合格的货物和服务</w:t>
      </w:r>
    </w:p>
    <w:p>
      <w:pPr>
        <w:pStyle w:val="10"/>
        <w:numPr>
          <w:ilvl w:val="0"/>
          <w:numId w:val="20"/>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7"/>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7"/>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7"/>
        <w:keepNext w:val="0"/>
        <w:keepLines w:val="0"/>
        <w:pageBreakBefore w:val="0"/>
        <w:widowControl w:val="0"/>
        <w:numPr>
          <w:ilvl w:val="0"/>
          <w:numId w:val="2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18"/>
        </w:numPr>
        <w:tabs>
          <w:tab w:val="left" w:pos="657"/>
        </w:tabs>
        <w:spacing w:before="62" w:after="0" w:line="360" w:lineRule="auto"/>
        <w:ind w:left="656" w:right="0" w:hanging="342"/>
        <w:jc w:val="left"/>
        <w:rPr>
          <w:rFonts w:hint="eastAsia" w:ascii="仿宋" w:hAnsi="仿宋" w:eastAsia="仿宋" w:cs="仿宋"/>
        </w:rPr>
      </w:pPr>
      <w:bookmarkStart w:id="18" w:name="4.谈判费用"/>
      <w:bookmarkEnd w:id="18"/>
      <w:r>
        <w:rPr>
          <w:rFonts w:hint="eastAsia" w:ascii="仿宋" w:hAnsi="仿宋" w:eastAsia="仿宋" w:cs="仿宋"/>
        </w:rPr>
        <w:t>谈判费用</w:t>
      </w:r>
    </w:p>
    <w:p>
      <w:pPr>
        <w:pStyle w:val="27"/>
        <w:numPr>
          <w:ilvl w:val="1"/>
          <w:numId w:val="18"/>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7"/>
        <w:numPr>
          <w:ilvl w:val="1"/>
          <w:numId w:val="18"/>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2"/>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8"/>
              <w:snapToGrid w:val="0"/>
              <w:spacing w:line="240" w:lineRule="auto"/>
              <w:ind w:left="112"/>
              <w:jc w:val="left"/>
              <w:rPr>
                <w:rFonts w:hint="eastAsia" w:ascii="仿宋" w:hAnsi="仿宋" w:eastAsia="仿宋" w:cs="仿宋"/>
                <w:sz w:val="21"/>
              </w:rPr>
            </w:pPr>
          </w:p>
          <w:p>
            <w:pPr>
              <w:pStyle w:val="28"/>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8"/>
              <w:ind w:left="112"/>
              <w:jc w:val="center"/>
              <w:rPr>
                <w:rFonts w:hint="eastAsia" w:ascii="仿宋" w:hAnsi="仿宋" w:eastAsia="仿宋" w:cs="仿宋"/>
                <w:sz w:val="21"/>
              </w:rPr>
            </w:pPr>
          </w:p>
          <w:p>
            <w:pPr>
              <w:pStyle w:val="28"/>
              <w:ind w:left="112"/>
              <w:jc w:val="center"/>
              <w:rPr>
                <w:rFonts w:hint="eastAsia" w:ascii="仿宋" w:hAnsi="仿宋" w:eastAsia="仿宋" w:cs="仿宋"/>
                <w:sz w:val="21"/>
              </w:rPr>
            </w:pPr>
            <w:r>
              <w:rPr>
                <w:rFonts w:hint="eastAsia" w:ascii="仿宋" w:hAnsi="仿宋" w:eastAsia="仿宋" w:cs="仿宋"/>
                <w:sz w:val="21"/>
              </w:rPr>
              <w:t>费率</w:t>
            </w:r>
          </w:p>
          <w:p>
            <w:pPr>
              <w:pStyle w:val="28"/>
              <w:ind w:left="112"/>
              <w:jc w:val="left"/>
              <w:rPr>
                <w:rFonts w:hint="eastAsia" w:ascii="仿宋" w:hAnsi="仿宋" w:eastAsia="仿宋" w:cs="仿宋"/>
                <w:sz w:val="21"/>
              </w:rPr>
            </w:pPr>
          </w:p>
        </w:tc>
        <w:tc>
          <w:tcPr>
            <w:tcW w:w="2419" w:type="dxa"/>
            <w:vAlign w:val="center"/>
          </w:tcPr>
          <w:p>
            <w:pPr>
              <w:pStyle w:val="28"/>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8"/>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8"/>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8"/>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8"/>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8"/>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9" w:name="二、谈判文件"/>
      <w:bookmarkEnd w:id="19"/>
    </w:p>
    <w:p>
      <w:pPr>
        <w:numPr>
          <w:ilvl w:val="0"/>
          <w:numId w:val="1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0" w:name="5.谈判文件的构成"/>
      <w:bookmarkEnd w:id="20"/>
      <w:r>
        <w:rPr>
          <w:rFonts w:hint="eastAsia" w:ascii="仿宋" w:hAnsi="仿宋" w:eastAsia="仿宋" w:cs="仿宋"/>
        </w:rPr>
        <w:t>谈判文件的构成</w:t>
      </w:r>
    </w:p>
    <w:p>
      <w:pPr>
        <w:pStyle w:val="27"/>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7"/>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7"/>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7"/>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7"/>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7"/>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7"/>
        <w:keepNext w:val="0"/>
        <w:keepLines w:val="0"/>
        <w:pageBreakBefore w:val="0"/>
        <w:widowControl w:val="0"/>
        <w:numPr>
          <w:ilvl w:val="1"/>
          <w:numId w:val="18"/>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1" w:name="三、竞争性谈判响应文件的编制"/>
      <w:bookmarkEnd w:id="21"/>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6.竞争性谈判响应文件编制基本要求"/>
      <w:bookmarkEnd w:id="22"/>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7"/>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0"/>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7"/>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7"/>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3" w:name="7.计量单位"/>
      <w:bookmarkEnd w:id="23"/>
      <w:r>
        <w:rPr>
          <w:rFonts w:hint="eastAsia" w:ascii="仿宋" w:hAnsi="仿宋" w:eastAsia="仿宋" w:cs="仿宋"/>
        </w:rPr>
        <w:t>计量单位</w:t>
      </w:r>
    </w:p>
    <w:p>
      <w:pPr>
        <w:pStyle w:val="27"/>
        <w:keepNext w:val="0"/>
        <w:keepLines w:val="0"/>
        <w:pageBreakBefore w:val="0"/>
        <w:widowControl w:val="0"/>
        <w:numPr>
          <w:ilvl w:val="1"/>
          <w:numId w:val="1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4" w:name="四、谈判报价要求"/>
      <w:bookmarkEnd w:id="24"/>
      <w:r>
        <w:rPr>
          <w:rFonts w:hint="eastAsia" w:ascii="仿宋" w:hAnsi="仿宋" w:eastAsia="仿宋" w:cs="仿宋"/>
          <w:b/>
          <w:bCs w:val="0"/>
          <w:sz w:val="32"/>
          <w:szCs w:val="22"/>
          <w:lang w:val="zh-CN" w:eastAsia="zh-CN" w:bidi="zh-CN"/>
        </w:rPr>
        <w:t>谈判报价要求</w:t>
      </w:r>
    </w:p>
    <w:p>
      <w:pPr>
        <w:pStyle w:val="27"/>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7"/>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7"/>
        <w:keepNext w:val="0"/>
        <w:keepLines w:val="0"/>
        <w:pageBreakBefore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本项目监理费合同结算价=经财政部门审定的监理费概算价×（1-监理费中标下浮率）)。</w:t>
      </w:r>
    </w:p>
    <w:p>
      <w:pPr>
        <w:keepNext w:val="0"/>
        <w:keepLines w:val="0"/>
        <w:pageBreakBefore w:val="0"/>
        <w:numPr>
          <w:ilvl w:val="0"/>
          <w:numId w:val="23"/>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5" w:name="五、谈判保证金"/>
      <w:bookmarkEnd w:id="25"/>
      <w:bookmarkStart w:id="26" w:name="六、谈判响应文件的份数、签署、封装、递交和谈判有效期"/>
      <w:bookmarkEnd w:id="26"/>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7"/>
        <w:keepNext w:val="0"/>
        <w:keepLines w:val="0"/>
        <w:pageBreakBefore w:val="0"/>
        <w:numPr>
          <w:ilvl w:val="0"/>
          <w:numId w:val="18"/>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7" w:name="11.竞争性谈判响应文件的签署、份数和封装"/>
      <w:bookmarkEnd w:id="27"/>
      <w:r>
        <w:rPr>
          <w:rFonts w:hint="eastAsia" w:ascii="仿宋" w:hAnsi="仿宋" w:eastAsia="仿宋" w:cs="仿宋"/>
          <w:b/>
          <w:sz w:val="21"/>
        </w:rPr>
        <w:t>竞争性谈判响应文件的签署、份数和封装</w:t>
      </w:r>
    </w:p>
    <w:p>
      <w:pPr>
        <w:pStyle w:val="27"/>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7"/>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7"/>
        <w:keepNext w:val="0"/>
        <w:keepLines w:val="0"/>
        <w:pageBreakBefore w:val="0"/>
        <w:numPr>
          <w:ilvl w:val="1"/>
          <w:numId w:val="18"/>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7"/>
        <w:numPr>
          <w:ilvl w:val="1"/>
          <w:numId w:val="18"/>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10"/>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4"/>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0"/>
        <w:spacing w:line="360" w:lineRule="auto"/>
        <w:rPr>
          <w:rFonts w:hint="eastAsia" w:ascii="仿宋" w:hAnsi="仿宋" w:eastAsia="仿宋" w:cs="仿宋"/>
          <w:sz w:val="20"/>
        </w:rPr>
      </w:pP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7"/>
        <w:numPr>
          <w:ilvl w:val="1"/>
          <w:numId w:val="18"/>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28" w:name="12.竞争性谈判响应文件的递交及谈判有效期"/>
      <w:bookmarkEnd w:id="28"/>
      <w:r>
        <w:rPr>
          <w:rFonts w:hint="eastAsia" w:ascii="仿宋" w:hAnsi="仿宋" w:eastAsia="仿宋" w:cs="仿宋"/>
        </w:rPr>
        <w:t>竞争性谈判响应文件的递交及谈判有效期</w:t>
      </w:r>
    </w:p>
    <w:p>
      <w:pPr>
        <w:pStyle w:val="27"/>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7"/>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7"/>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7"/>
        <w:numPr>
          <w:ilvl w:val="1"/>
          <w:numId w:val="18"/>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7"/>
        <w:numPr>
          <w:ilvl w:val="1"/>
          <w:numId w:val="1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4"/>
        </w:numPr>
        <w:spacing w:before="165" w:line="360" w:lineRule="auto"/>
        <w:ind w:left="0" w:leftChars="0" w:firstLine="420" w:firstLineChars="0"/>
        <w:rPr>
          <w:rFonts w:hint="eastAsia" w:ascii="仿宋" w:hAnsi="仿宋" w:eastAsia="仿宋" w:cs="仿宋"/>
        </w:rPr>
      </w:pPr>
      <w:bookmarkStart w:id="29" w:name="七、谈判的步骤"/>
      <w:bookmarkEnd w:id="29"/>
      <w:r>
        <w:rPr>
          <w:rFonts w:hint="eastAsia" w:ascii="仿宋" w:hAnsi="仿宋" w:eastAsia="仿宋" w:cs="仿宋"/>
          <w:b/>
          <w:bCs w:val="0"/>
          <w:sz w:val="32"/>
          <w:szCs w:val="22"/>
          <w:lang w:val="zh-CN" w:eastAsia="zh-CN" w:bidi="zh-CN"/>
        </w:rPr>
        <w:t>谈判的步骤</w:t>
      </w:r>
    </w:p>
    <w:p>
      <w:pPr>
        <w:pStyle w:val="9"/>
        <w:numPr>
          <w:ilvl w:val="0"/>
          <w:numId w:val="18"/>
        </w:numPr>
        <w:tabs>
          <w:tab w:val="left" w:pos="657"/>
        </w:tabs>
        <w:spacing w:before="0" w:after="0" w:line="360" w:lineRule="auto"/>
        <w:ind w:left="656" w:right="0" w:hanging="342"/>
        <w:jc w:val="left"/>
        <w:rPr>
          <w:rFonts w:hint="eastAsia" w:ascii="仿宋" w:hAnsi="仿宋" w:eastAsia="仿宋" w:cs="仿宋"/>
        </w:rPr>
      </w:pPr>
      <w:bookmarkStart w:id="30" w:name="13.谈判文件的澄清、补充和修改"/>
      <w:bookmarkEnd w:id="30"/>
      <w:r>
        <w:rPr>
          <w:rFonts w:hint="eastAsia" w:ascii="仿宋" w:hAnsi="仿宋" w:eastAsia="仿宋" w:cs="仿宋"/>
        </w:rPr>
        <w:t>谈判文件的澄清、补充和修改</w:t>
      </w:r>
    </w:p>
    <w:p>
      <w:pPr>
        <w:pStyle w:val="27"/>
        <w:numPr>
          <w:ilvl w:val="1"/>
          <w:numId w:val="18"/>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7"/>
        <w:numPr>
          <w:ilvl w:val="1"/>
          <w:numId w:val="18"/>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0"/>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7"/>
        <w:numPr>
          <w:ilvl w:val="1"/>
          <w:numId w:val="18"/>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7"/>
        <w:numPr>
          <w:ilvl w:val="1"/>
          <w:numId w:val="18"/>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18"/>
        </w:numPr>
        <w:tabs>
          <w:tab w:val="left" w:pos="657"/>
        </w:tabs>
        <w:spacing w:before="2" w:after="0" w:line="360" w:lineRule="auto"/>
        <w:ind w:left="656" w:right="0" w:hanging="342"/>
        <w:jc w:val="left"/>
        <w:rPr>
          <w:rFonts w:hint="eastAsia" w:ascii="仿宋" w:hAnsi="仿宋" w:eastAsia="仿宋" w:cs="仿宋"/>
        </w:rPr>
      </w:pPr>
      <w:bookmarkStart w:id="31" w:name="14.谈判评审"/>
      <w:bookmarkEnd w:id="31"/>
      <w:r>
        <w:rPr>
          <w:rFonts w:hint="eastAsia" w:ascii="仿宋" w:hAnsi="仿宋" w:eastAsia="仿宋" w:cs="仿宋"/>
        </w:rPr>
        <w:t>谈判评审</w:t>
      </w:r>
    </w:p>
    <w:p>
      <w:pPr>
        <w:pStyle w:val="27"/>
        <w:numPr>
          <w:ilvl w:val="1"/>
          <w:numId w:val="18"/>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7"/>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2" w:name="14.2谈判须知"/>
      <w:bookmarkEnd w:id="32"/>
      <w:r>
        <w:rPr>
          <w:rFonts w:hint="eastAsia" w:ascii="仿宋" w:hAnsi="仿宋" w:eastAsia="仿宋" w:cs="仿宋"/>
        </w:rPr>
        <w:t>谈判须知</w:t>
      </w:r>
    </w:p>
    <w:p>
      <w:pPr>
        <w:pStyle w:val="27"/>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7"/>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7"/>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7"/>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3" w:name="14.3谈判程序"/>
      <w:bookmarkEnd w:id="33"/>
      <w:r>
        <w:rPr>
          <w:rFonts w:hint="eastAsia" w:ascii="仿宋" w:hAnsi="仿宋" w:eastAsia="仿宋" w:cs="仿宋"/>
        </w:rPr>
        <w:t>谈判程序</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sz w:val="21"/>
          <w:highlight w:val="none"/>
          <w:lang w:val="en-US" w:eastAsia="zh-CN"/>
        </w:rPr>
        <w:t>（本项目不适用）</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sz w:val="21"/>
          <w:highlight w:val="none"/>
          <w:lang w:val="en-US" w:eastAsia="zh-CN"/>
        </w:rPr>
        <w:t>（本项目不适用）</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本项目采购标的对应的中小企业划分标准所属行业为其他未列明行业；</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7"/>
        <w:keepNext w:val="0"/>
        <w:keepLines w:val="0"/>
        <w:pageBreakBefore w:val="0"/>
        <w:widowControl w:val="0"/>
        <w:numPr>
          <w:ilvl w:val="1"/>
          <w:numId w:val="2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7"/>
        <w:keepNext w:val="0"/>
        <w:keepLines w:val="0"/>
        <w:pageBreakBefore w:val="0"/>
        <w:widowControl w:val="0"/>
        <w:numPr>
          <w:ilvl w:val="0"/>
          <w:numId w:val="2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7"/>
        <w:keepNext w:val="0"/>
        <w:keepLines w:val="0"/>
        <w:pageBreakBefore w:val="0"/>
        <w:widowControl w:val="0"/>
        <w:numPr>
          <w:ilvl w:val="0"/>
          <w:numId w:val="2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7"/>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7"/>
        <w:keepNext w:val="0"/>
        <w:keepLines w:val="0"/>
        <w:pageBreakBefore w:val="0"/>
        <w:widowControl w:val="0"/>
        <w:numPr>
          <w:ilvl w:val="0"/>
          <w:numId w:val="2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7"/>
        <w:keepNext w:val="0"/>
        <w:keepLines w:val="0"/>
        <w:pageBreakBefore w:val="0"/>
        <w:widowControl w:val="0"/>
        <w:numPr>
          <w:ilvl w:val="0"/>
          <w:numId w:val="2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4" w:name="八、确定成交供应商办法"/>
      <w:bookmarkEnd w:id="34"/>
      <w:r>
        <w:rPr>
          <w:rFonts w:hint="eastAsia" w:ascii="仿宋" w:hAnsi="仿宋" w:eastAsia="仿宋" w:cs="仿宋"/>
        </w:rPr>
        <w:t>确定成交供应商办法</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1"/>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6" w:name="九、质疑与投诉"/>
      <w:bookmarkEnd w:id="36"/>
      <w:r>
        <w:rPr>
          <w:rFonts w:hint="eastAsia" w:ascii="仿宋" w:hAnsi="仿宋" w:eastAsia="仿宋" w:cs="仿宋"/>
        </w:rPr>
        <w:t>质疑与投诉</w:t>
      </w:r>
    </w:p>
    <w:p>
      <w:pPr>
        <w:pStyle w:val="9"/>
        <w:keepNext w:val="0"/>
        <w:keepLines w:val="0"/>
        <w:pageBreakBefore w:val="0"/>
        <w:widowControl w:val="0"/>
        <w:numPr>
          <w:ilvl w:val="0"/>
          <w:numId w:val="1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7" w:name="16.响应供应商对评审结果有质疑或投诉的，可依法向采购代理机构或采购人书面提出，"/>
      <w:bookmarkEnd w:id="37"/>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7"/>
        <w:keepNext w:val="0"/>
        <w:keepLines w:val="0"/>
        <w:pageBreakBefore w:val="0"/>
        <w:widowControl w:val="0"/>
        <w:numPr>
          <w:ilvl w:val="1"/>
          <w:numId w:val="1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7"/>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7"/>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7"/>
        <w:keepNext w:val="0"/>
        <w:keepLines w:val="0"/>
        <w:pageBreakBefore w:val="0"/>
        <w:widowControl w:val="0"/>
        <w:numPr>
          <w:ilvl w:val="2"/>
          <w:numId w:val="18"/>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0"/>
                <w:rFonts w:hint="eastAsia" w:ascii="仿宋" w:hAnsi="仿宋" w:eastAsia="仿宋" w:cs="仿宋"/>
                <w:u w:val="none"/>
                <w:lang w:val="en-US" w:eastAsia="zh-CN"/>
              </w:rPr>
              <w:t>事实</w:t>
            </w:r>
            <w:r>
              <w:rPr>
                <w:rStyle w:val="30"/>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7"/>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1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7"/>
        <w:keepNext w:val="0"/>
        <w:keepLines w:val="0"/>
        <w:pageBreakBefore w:val="0"/>
        <w:widowControl w:val="0"/>
        <w:numPr>
          <w:ilvl w:val="1"/>
          <w:numId w:val="1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2"/>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7"/>
        <w:keepNext w:val="0"/>
        <w:keepLines w:val="0"/>
        <w:pageBreakBefore w:val="0"/>
        <w:widowControl w:val="0"/>
        <w:numPr>
          <w:ilvl w:val="1"/>
          <w:numId w:val="32"/>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7"/>
        <w:keepNext w:val="0"/>
        <w:keepLines w:val="0"/>
        <w:pageBreakBefore w:val="0"/>
        <w:widowControl w:val="0"/>
        <w:numPr>
          <w:ilvl w:val="1"/>
          <w:numId w:val="32"/>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33"/>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0" w:name="十、签订合同"/>
      <w:bookmarkEnd w:id="40"/>
      <w:r>
        <w:rPr>
          <w:rFonts w:hint="eastAsia" w:ascii="仿宋" w:hAnsi="仿宋" w:eastAsia="仿宋" w:cs="仿宋"/>
        </w:rPr>
        <w:t>签订合同</w:t>
      </w:r>
    </w:p>
    <w:p>
      <w:pPr>
        <w:pStyle w:val="9"/>
        <w:keepNext w:val="0"/>
        <w:keepLines w:val="0"/>
        <w:pageBreakBefore w:val="0"/>
        <w:widowControl w:val="0"/>
        <w:numPr>
          <w:ilvl w:val="0"/>
          <w:numId w:val="3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1" w:name="19.签订合同"/>
      <w:bookmarkEnd w:id="41"/>
      <w:bookmarkStart w:id="42" w:name="19.签订合同"/>
      <w:bookmarkEnd w:id="42"/>
      <w:r>
        <w:rPr>
          <w:rFonts w:hint="eastAsia" w:ascii="仿宋" w:hAnsi="仿宋" w:eastAsia="仿宋" w:cs="仿宋"/>
        </w:rPr>
        <w:t>签订合同</w:t>
      </w:r>
    </w:p>
    <w:p>
      <w:pPr>
        <w:pStyle w:val="10"/>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7"/>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7"/>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7"/>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7"/>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7"/>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7"/>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7"/>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7"/>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7"/>
        <w:keepNext w:val="0"/>
        <w:keepLines w:val="0"/>
        <w:pageBreakBefore w:val="0"/>
        <w:widowControl w:val="0"/>
        <w:numPr>
          <w:ilvl w:val="0"/>
          <w:numId w:val="34"/>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7"/>
        <w:keepNext w:val="0"/>
        <w:keepLines w:val="0"/>
        <w:pageBreakBefore w:val="0"/>
        <w:widowControl w:val="0"/>
        <w:numPr>
          <w:ilvl w:val="0"/>
          <w:numId w:val="3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7"/>
        <w:keepNext w:val="0"/>
        <w:keepLines w:val="0"/>
        <w:pageBreakBefore w:val="0"/>
        <w:widowControl w:val="0"/>
        <w:numPr>
          <w:ilvl w:val="0"/>
          <w:numId w:val="3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3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3" w:name="十一、适用法律"/>
      <w:bookmarkEnd w:id="43"/>
      <w:r>
        <w:rPr>
          <w:rFonts w:hint="eastAsia" w:ascii="仿宋" w:hAnsi="仿宋" w:eastAsia="仿宋" w:cs="仿宋"/>
        </w:rPr>
        <w:t>适用法律</w:t>
      </w:r>
    </w:p>
    <w:p>
      <w:pPr>
        <w:pStyle w:val="27"/>
        <w:keepNext w:val="0"/>
        <w:keepLines w:val="0"/>
        <w:pageBreakBefore w:val="0"/>
        <w:widowControl w:val="0"/>
        <w:numPr>
          <w:ilvl w:val="0"/>
          <w:numId w:val="3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7"/>
        <w:keepNext w:val="0"/>
        <w:keepLines w:val="0"/>
        <w:pageBreakBefore w:val="0"/>
        <w:widowControl w:val="0"/>
        <w:numPr>
          <w:ilvl w:val="0"/>
          <w:numId w:val="3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4" w:name="22.采购文件的解释权"/>
      <w:bookmarkEnd w:id="44"/>
      <w:bookmarkStart w:id="45" w:name="22.采购文件的解释权"/>
      <w:bookmarkEnd w:id="45"/>
      <w:r>
        <w:rPr>
          <w:rFonts w:hint="eastAsia" w:ascii="仿宋" w:hAnsi="仿宋" w:eastAsia="仿宋" w:cs="仿宋"/>
        </w:rPr>
        <w:t>采购文件的解释权</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2"/>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0" w:type="auto"/>
            <w:vAlign w:val="center"/>
          </w:tcPr>
          <w:p>
            <w:pPr>
              <w:pStyle w:val="28"/>
              <w:spacing w:before="172" w:line="360" w:lineRule="auto"/>
              <w:ind w:left="414" w:right="406"/>
              <w:jc w:val="both"/>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0" w:type="auto"/>
            <w:vAlign w:val="center"/>
          </w:tcPr>
          <w:p>
            <w:pPr>
              <w:pStyle w:val="28"/>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0" w:type="auto"/>
            <w:vAlign w:val="center"/>
          </w:tcPr>
          <w:p>
            <w:pPr>
              <w:pStyle w:val="28"/>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0" w:type="auto"/>
            <w:vAlign w:val="center"/>
          </w:tcPr>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0" w:type="auto"/>
            <w:vAlign w:val="center"/>
          </w:tcPr>
          <w:p>
            <w:pPr>
              <w:pStyle w:val="28"/>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0" w:type="auto"/>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本项目为专门面向中小企业采购的项目，响应供应商须符合其他未列明行业的中小企业划分标准；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8"/>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0" w:type="auto"/>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信用记录：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8"/>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0" w:type="auto"/>
            <w:vAlign w:val="center"/>
          </w:tcPr>
          <w:p>
            <w:pPr>
              <w:pStyle w:val="10"/>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0" w:type="auto"/>
            <w:vAlign w:val="center"/>
          </w:tcPr>
          <w:p>
            <w:pPr>
              <w:pStyle w:val="28"/>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0" w:type="auto"/>
            <w:vAlign w:val="center"/>
          </w:tcPr>
          <w:p>
            <w:pPr>
              <w:pStyle w:val="10"/>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8"/>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0" w:type="auto"/>
            <w:vAlign w:val="center"/>
          </w:tcPr>
          <w:p>
            <w:pPr>
              <w:pStyle w:val="10"/>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8"/>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0" w:type="auto"/>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供应商具有效的行政主管部门颁发的工程监理综合资质，或水利工程施工监理乙级（或以上）资质证书；</w:t>
            </w:r>
          </w:p>
        </w:tc>
      </w:tr>
    </w:tbl>
    <w:p>
      <w:pPr>
        <w:pStyle w:val="10"/>
        <w:spacing w:line="360" w:lineRule="auto"/>
        <w:ind w:left="100"/>
        <w:rPr>
          <w:rFonts w:hint="eastAsia" w:ascii="仿宋" w:hAnsi="仿宋" w:eastAsia="仿宋" w:cs="仿宋"/>
          <w:sz w:val="22"/>
          <w:szCs w:val="22"/>
          <w:highlight w:val="none"/>
          <w:lang w:val="zh-CN" w:eastAsia="zh-CN" w:bidi="zh-CN"/>
        </w:rPr>
      </w:pPr>
    </w:p>
    <w:p>
      <w:pPr>
        <w:pStyle w:val="10"/>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2"/>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8"/>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8"/>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8"/>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8"/>
              <w:spacing w:before="8" w:line="360" w:lineRule="auto"/>
              <w:rPr>
                <w:rFonts w:hint="eastAsia" w:ascii="仿宋" w:hAnsi="仿宋" w:eastAsia="仿宋" w:cs="仿宋"/>
                <w:b/>
                <w:sz w:val="15"/>
                <w:highlight w:val="none"/>
              </w:rPr>
            </w:pPr>
          </w:p>
          <w:p>
            <w:pPr>
              <w:pStyle w:val="28"/>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8"/>
              <w:spacing w:before="12" w:line="360" w:lineRule="auto"/>
              <w:rPr>
                <w:rFonts w:hint="eastAsia" w:ascii="仿宋" w:hAnsi="仿宋" w:eastAsia="仿宋" w:cs="仿宋"/>
                <w:b/>
                <w:sz w:val="23"/>
                <w:highlight w:val="none"/>
              </w:rPr>
            </w:pPr>
          </w:p>
          <w:p>
            <w:pPr>
              <w:pStyle w:val="28"/>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8"/>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8"/>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8"/>
              <w:spacing w:before="9" w:line="360" w:lineRule="auto"/>
              <w:rPr>
                <w:rFonts w:hint="eastAsia" w:ascii="仿宋" w:hAnsi="仿宋" w:eastAsia="仿宋" w:cs="仿宋"/>
                <w:b/>
                <w:sz w:val="14"/>
                <w:highlight w:val="none"/>
              </w:rPr>
            </w:pPr>
          </w:p>
          <w:p>
            <w:pPr>
              <w:pStyle w:val="28"/>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8" w:name="第四部分"/>
      <w:bookmarkEnd w:id="48"/>
      <w:bookmarkStart w:id="49" w:name="_Toc4739"/>
      <w:r>
        <w:rPr>
          <w:rFonts w:hint="eastAsia" w:ascii="仿宋" w:hAnsi="仿宋" w:eastAsia="仿宋" w:cs="仿宋"/>
        </w:rPr>
        <w:t>第四部分</w:t>
      </w:r>
      <w:bookmarkEnd w:id="49"/>
      <w:bookmarkStart w:id="50"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0"/>
    </w:p>
    <w:p>
      <w:pPr>
        <w:pStyle w:val="10"/>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1" w:name="（注：合同书格式仅供参考）"/>
      <w:bookmarkEnd w:id="51"/>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spacing w:line="360" w:lineRule="auto"/>
        <w:ind w:left="0" w:leftChars="0" w:firstLine="0" w:firstLineChars="0"/>
        <w:jc w:val="center"/>
        <w:rPr>
          <w:rFonts w:ascii="黑体" w:hAnsi="黑体" w:eastAsia="黑体"/>
          <w:spacing w:val="20"/>
          <w:sz w:val="32"/>
          <w:szCs w:val="32"/>
        </w:rPr>
      </w:pPr>
      <w:r>
        <w:rPr>
          <w:rFonts w:hint="eastAsia" w:ascii="黑体" w:hAnsi="黑体" w:eastAsia="黑体"/>
          <w:spacing w:val="20"/>
          <w:sz w:val="32"/>
          <w:szCs w:val="32"/>
        </w:rPr>
        <w:t>合同书格式</w:t>
      </w:r>
    </w:p>
    <w:p>
      <w:pPr>
        <w:spacing w:line="360" w:lineRule="auto"/>
        <w:jc w:val="center"/>
        <w:rPr>
          <w:rFonts w:ascii="黑体" w:hAnsi="黑体" w:eastAsia="黑体"/>
        </w:rPr>
      </w:pPr>
      <w:r>
        <w:rPr>
          <w:rFonts w:hint="eastAsia" w:ascii="黑体" w:hAnsi="黑体" w:eastAsia="黑体"/>
        </w:rPr>
        <w:t>（本格式编排在</w:t>
      </w:r>
      <w:r>
        <w:rPr>
          <w:rFonts w:hint="eastAsia" w:ascii="黑体" w:hAnsi="黑体" w:eastAsia="黑体"/>
          <w:lang w:val="en-US" w:eastAsia="zh-CN"/>
        </w:rPr>
        <w:t>谈判</w:t>
      </w:r>
      <w:r>
        <w:rPr>
          <w:rFonts w:hint="eastAsia" w:ascii="黑体" w:hAnsi="黑体" w:eastAsia="黑体"/>
        </w:rPr>
        <w:t>文件中，供</w:t>
      </w:r>
      <w:r>
        <w:rPr>
          <w:rFonts w:hint="eastAsia" w:ascii="黑体" w:hAnsi="黑体" w:eastAsia="黑体"/>
          <w:lang w:val="en-US" w:eastAsia="zh-CN"/>
        </w:rPr>
        <w:t>供应商</w:t>
      </w:r>
      <w:r>
        <w:rPr>
          <w:rFonts w:hint="eastAsia" w:ascii="黑体" w:hAnsi="黑体" w:eastAsia="黑体"/>
        </w:rPr>
        <w:t>参考，</w:t>
      </w:r>
      <w:r>
        <w:rPr>
          <w:rFonts w:hint="eastAsia" w:ascii="黑体" w:hAnsi="黑体" w:eastAsia="黑体"/>
          <w:lang w:val="en-US" w:eastAsia="zh-CN"/>
        </w:rPr>
        <w:t>响应</w:t>
      </w:r>
      <w:r>
        <w:rPr>
          <w:rFonts w:hint="eastAsia" w:ascii="黑体" w:hAnsi="黑体" w:eastAsia="黑体"/>
        </w:rPr>
        <w:t>时不需填写）</w:t>
      </w:r>
    </w:p>
    <w:p/>
    <w:p/>
    <w:p>
      <w:pPr>
        <w:spacing w:line="360" w:lineRule="auto"/>
        <w:jc w:val="center"/>
        <w:rPr>
          <w:rFonts w:hint="eastAsia" w:ascii="黑体" w:hAnsi="黑体" w:eastAsia="黑体"/>
          <w:bCs/>
          <w:sz w:val="50"/>
          <w:szCs w:val="50"/>
          <w:lang w:eastAsia="zh-CN"/>
        </w:rPr>
      </w:pPr>
      <w:r>
        <w:rPr>
          <w:rFonts w:hint="eastAsia" w:ascii="黑体" w:hAnsi="黑体" w:eastAsia="黑体"/>
          <w:bCs/>
          <w:sz w:val="56"/>
          <w:szCs w:val="56"/>
          <w:lang w:eastAsia="zh-CN"/>
        </w:rPr>
        <w:t>施工监理合同</w:t>
      </w:r>
    </w:p>
    <w:p>
      <w:pPr>
        <w:spacing w:line="360" w:lineRule="auto"/>
        <w:jc w:val="center"/>
        <w:rPr>
          <w:rFonts w:ascii="黑体" w:hAnsi="黑体" w:eastAsia="黑体"/>
          <w:b/>
          <w:bCs/>
          <w:szCs w:val="21"/>
        </w:rPr>
      </w:pPr>
      <w:r>
        <w:rPr>
          <w:rFonts w:hint="eastAsia" w:ascii="黑体" w:hAnsi="黑体" w:eastAsia="黑体"/>
          <w:b/>
          <w:bCs/>
          <w:szCs w:val="21"/>
        </w:rPr>
        <w:t>（合同编号：</w:t>
      </w:r>
      <w:r>
        <w:rPr>
          <w:rFonts w:ascii="黑体" w:hAnsi="黑体" w:eastAsia="黑体"/>
          <w:b/>
          <w:bCs/>
          <w:szCs w:val="21"/>
          <w:u w:val="single"/>
        </w:rPr>
        <w:t xml:space="preserve">         </w:t>
      </w:r>
      <w:r>
        <w:rPr>
          <w:rFonts w:hint="eastAsia" w:ascii="黑体" w:hAnsi="黑体" w:eastAsia="黑体"/>
          <w:b/>
          <w:bCs/>
          <w:szCs w:val="21"/>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0"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lang w:val="en-US" w:eastAsia="zh-CN"/>
              </w:rPr>
              <w:t>委托人</w:t>
            </w:r>
            <w:r>
              <w:rPr>
                <w:rFonts w:hint="eastAsia" w:ascii="黑体" w:hAnsi="黑体" w:eastAsia="黑体"/>
                <w:b/>
                <w:bCs/>
                <w:sz w:val="28"/>
                <w:szCs w:val="28"/>
              </w:rPr>
              <w:t>：</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lang w:val="en-US" w:eastAsia="zh-CN"/>
              </w:rPr>
              <w:t>监理人</w:t>
            </w:r>
            <w:r>
              <w:rPr>
                <w:rFonts w:hint="eastAsia" w:ascii="黑体" w:hAnsi="黑体" w:eastAsia="黑体"/>
                <w:b/>
                <w:bCs/>
                <w:sz w:val="28"/>
                <w:szCs w:val="28"/>
              </w:rPr>
              <w:t>：</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hint="default" w:ascii="黑体" w:hAnsi="黑体" w:eastAsia="黑体"/>
          <w:spacing w:val="20"/>
          <w:sz w:val="28"/>
          <w:szCs w:val="28"/>
          <w:lang w:val="en-US" w:eastAsia="zh-CN"/>
        </w:rPr>
      </w:pPr>
      <w:r>
        <w:rPr>
          <w:rFonts w:hint="eastAsia" w:ascii="黑体" w:hAnsi="黑体" w:eastAsia="黑体"/>
          <w:spacing w:val="20"/>
          <w:sz w:val="28"/>
          <w:szCs w:val="28"/>
        </w:rPr>
        <w:t>二〇二</w:t>
      </w:r>
      <w:r>
        <w:rPr>
          <w:rFonts w:hint="eastAsia" w:ascii="黑体" w:hAnsi="黑体" w:eastAsia="黑体"/>
          <w:spacing w:val="20"/>
          <w:sz w:val="28"/>
          <w:szCs w:val="28"/>
          <w:lang w:val="en-US" w:eastAsia="zh-CN"/>
        </w:rPr>
        <w:t>四</w:t>
      </w:r>
      <w:r>
        <w:rPr>
          <w:rFonts w:hint="eastAsia" w:ascii="黑体" w:hAnsi="黑体" w:eastAsia="黑体"/>
          <w:spacing w:val="20"/>
          <w:sz w:val="28"/>
          <w:szCs w:val="28"/>
        </w:rPr>
        <w:t>年</w:t>
      </w:r>
      <w:r>
        <w:rPr>
          <w:rFonts w:ascii="黑体" w:hAnsi="黑体" w:eastAsia="黑体"/>
          <w:spacing w:val="20"/>
          <w:sz w:val="28"/>
          <w:szCs w:val="28"/>
          <w:u w:val="single"/>
        </w:rPr>
        <w:t xml:space="preserve">   </w:t>
      </w:r>
      <w:r>
        <w:rPr>
          <w:rFonts w:hint="eastAsia" w:ascii="黑体" w:hAnsi="黑体" w:eastAsia="黑体"/>
          <w:spacing w:val="20"/>
          <w:sz w:val="28"/>
          <w:szCs w:val="28"/>
        </w:rPr>
        <w:t>月于</w:t>
      </w:r>
      <w:r>
        <w:rPr>
          <w:rFonts w:hint="eastAsia" w:ascii="黑体" w:hAnsi="黑体" w:eastAsia="黑体"/>
          <w:spacing w:val="20"/>
          <w:sz w:val="28"/>
          <w:szCs w:val="28"/>
          <w:lang w:val="en-US" w:eastAsia="zh-CN"/>
        </w:rPr>
        <w:t>新兴县</w:t>
      </w:r>
    </w:p>
    <w:p>
      <w:pPr>
        <w:widowControl/>
        <w:jc w:val="left"/>
        <w:rPr>
          <w:rFonts w:ascii="黑体" w:hAnsi="黑体" w:eastAsia="黑体"/>
          <w:b/>
          <w:bCs/>
          <w:sz w:val="32"/>
          <w:szCs w:val="32"/>
        </w:rPr>
      </w:pPr>
      <w:r>
        <w:rPr>
          <w:rFonts w:ascii="黑体" w:hAnsi="黑体" w:eastAsia="黑体"/>
          <w:b/>
          <w:bCs/>
          <w:sz w:val="32"/>
          <w:szCs w:val="32"/>
        </w:rPr>
        <w:br w:type="page"/>
      </w:r>
    </w:p>
    <w:p>
      <w:pPr>
        <w:spacing w:before="156" w:after="156" w:line="480" w:lineRule="auto"/>
        <w:ind w:left="120" w:right="120"/>
        <w:jc w:val="center"/>
        <w:rPr>
          <w:rFonts w:ascii="黑体" w:hAnsi="黑体" w:eastAsia="黑体" w:cs="宋体"/>
          <w:b/>
          <w:bCs/>
          <w:szCs w:val="21"/>
        </w:rPr>
      </w:pPr>
      <w:r>
        <w:rPr>
          <w:rFonts w:hint="eastAsia" w:ascii="黑体" w:hAnsi="黑体" w:eastAsia="黑体" w:cs="宋体"/>
          <w:b/>
          <w:bCs/>
          <w:szCs w:val="21"/>
        </w:rPr>
        <w:t>（一）水利工程建设监理合同书</w:t>
      </w:r>
    </w:p>
    <w:p>
      <w:pPr>
        <w:spacing w:line="480" w:lineRule="auto"/>
        <w:rPr>
          <w:rFonts w:hint="eastAsia" w:ascii="黑体" w:hAnsi="黑体" w:eastAsia="黑体"/>
          <w:szCs w:val="21"/>
          <w:lang w:eastAsia="zh-CN"/>
        </w:rPr>
      </w:pPr>
      <w:r>
        <w:rPr>
          <w:rFonts w:hint="eastAsia" w:ascii="黑体" w:hAnsi="黑体" w:eastAsia="黑体" w:cs="宋体"/>
          <w:szCs w:val="21"/>
          <w:lang w:eastAsia="zh-CN"/>
        </w:rPr>
        <w:t>委 托 人：</w:t>
      </w:r>
      <w:r>
        <w:rPr>
          <w:rFonts w:hint="eastAsia" w:ascii="黑体" w:hAnsi="黑体" w:eastAsia="黑体" w:cs="宋体"/>
          <w:szCs w:val="21"/>
          <w:u w:val="single"/>
          <w:lang w:eastAsia="zh-CN"/>
        </w:rPr>
        <w:t>新兴县水利工程建设管理中心</w:t>
      </w:r>
    </w:p>
    <w:p>
      <w:pPr>
        <w:spacing w:line="480" w:lineRule="auto"/>
        <w:rPr>
          <w:rFonts w:hint="eastAsia" w:ascii="黑体" w:hAnsi="黑体" w:eastAsia="黑体" w:cs="宋体"/>
          <w:szCs w:val="21"/>
          <w:u w:val="single"/>
        </w:rPr>
      </w:pPr>
      <w:r>
        <w:rPr>
          <w:rFonts w:hint="eastAsia" w:ascii="黑体" w:hAnsi="黑体" w:eastAsia="黑体" w:cs="宋体"/>
          <w:szCs w:val="21"/>
          <w:lang w:eastAsia="zh-CN"/>
        </w:rPr>
        <w:t>监 理 人：</w:t>
      </w:r>
      <w:r>
        <w:rPr>
          <w:rFonts w:hint="eastAsia" w:ascii="黑体" w:hAnsi="黑体" w:eastAsia="黑体" w:cs="宋体"/>
          <w:szCs w:val="21"/>
          <w:u w:val="single"/>
        </w:rPr>
        <w:t xml:space="preserve">                    </w:t>
      </w:r>
    </w:p>
    <w:p>
      <w:pPr>
        <w:spacing w:line="480" w:lineRule="auto"/>
        <w:rPr>
          <w:rFonts w:hint="eastAsia" w:ascii="黑体" w:hAnsi="黑体" w:eastAsia="黑体" w:cs="宋体"/>
          <w:szCs w:val="21"/>
          <w:u w:val="single"/>
        </w:rPr>
      </w:pPr>
      <w:r>
        <w:rPr>
          <w:rFonts w:hint="eastAsia" w:ascii="黑体" w:hAnsi="黑体" w:eastAsia="黑体" w:cs="宋体"/>
          <w:szCs w:val="21"/>
          <w:u w:val="none"/>
          <w:lang w:val="en-US" w:eastAsia="zh-CN"/>
        </w:rPr>
        <w:t>合同编号：</w:t>
      </w:r>
      <w:r>
        <w:rPr>
          <w:rFonts w:hint="eastAsia" w:ascii="黑体" w:hAnsi="黑体" w:eastAsia="黑体" w:cs="宋体"/>
          <w:szCs w:val="21"/>
          <w:u w:val="single"/>
        </w:rPr>
        <w:t xml:space="preserve">                    </w:t>
      </w:r>
    </w:p>
    <w:p>
      <w:pPr>
        <w:spacing w:line="480" w:lineRule="auto"/>
        <w:rPr>
          <w:rFonts w:hint="default" w:ascii="黑体" w:hAnsi="黑体" w:eastAsia="黑体" w:cs="宋体"/>
          <w:szCs w:val="21"/>
          <w:u w:val="single"/>
          <w:lang w:val="en-US" w:eastAsia="zh-CN"/>
        </w:rPr>
      </w:pPr>
      <w:r>
        <w:rPr>
          <w:rFonts w:hint="eastAsia" w:ascii="黑体" w:hAnsi="黑体" w:eastAsia="黑体" w:cs="宋体"/>
          <w:szCs w:val="21"/>
          <w:u w:val="none"/>
          <w:lang w:val="en-US" w:eastAsia="zh-CN"/>
        </w:rPr>
        <w:t>合同名称：</w:t>
      </w:r>
      <w:r>
        <w:rPr>
          <w:rFonts w:hint="eastAsia" w:ascii="黑体" w:hAnsi="黑体" w:eastAsia="黑体" w:cs="宋体"/>
          <w:szCs w:val="21"/>
          <w:u w:val="single"/>
        </w:rPr>
        <w:t xml:space="preserve">                    </w:t>
      </w:r>
    </w:p>
    <w:p>
      <w:pPr>
        <w:widowControl/>
        <w:snapToGrid w:val="0"/>
        <w:spacing w:before="156" w:beforeLines="50" w:after="156" w:afterLines="50" w:line="480" w:lineRule="auto"/>
        <w:ind w:firstLine="440" w:firstLineChars="200"/>
        <w:rPr>
          <w:rFonts w:hint="eastAsia" w:ascii="黑体" w:hAnsi="黑体" w:eastAsia="黑体" w:cs="宋体"/>
          <w:szCs w:val="21"/>
          <w:lang w:val="zh-CN" w:eastAsia="zh-CN"/>
        </w:rPr>
      </w:pPr>
      <w:r>
        <w:rPr>
          <w:rFonts w:hint="eastAsia" w:ascii="黑体" w:hAnsi="黑体" w:eastAsia="黑体" w:cs="宋体"/>
          <w:szCs w:val="21"/>
          <w:lang w:val="zh-CN" w:eastAsia="zh-CN"/>
        </w:rPr>
        <w:t>依据国家有关法律、法规，新兴县水利工程建设管理中心委托工程监理服务，经双方协商一致，订立本合同。</w:t>
      </w:r>
    </w:p>
    <w:p>
      <w:pPr>
        <w:pStyle w:val="10"/>
        <w:spacing w:before="0" w:beforeAutospacing="0" w:after="0" w:afterAutospacing="0" w:line="480" w:lineRule="auto"/>
        <w:rPr>
          <w:rFonts w:hint="eastAsia" w:ascii="黑体" w:hAnsi="黑体" w:eastAsia="黑体" w:cs="宋体"/>
          <w:sz w:val="22"/>
          <w:szCs w:val="21"/>
          <w:lang w:val="zh-CN" w:eastAsia="zh-CN" w:bidi="zh-CN"/>
        </w:rPr>
      </w:pPr>
      <w:r>
        <w:rPr>
          <w:rFonts w:hint="eastAsia" w:ascii="黑体" w:hAnsi="黑体" w:eastAsia="黑体" w:cs="宋体"/>
          <w:sz w:val="22"/>
          <w:szCs w:val="21"/>
          <w:lang w:val="zh-CN" w:eastAsia="zh-CN" w:bidi="zh-CN"/>
        </w:rPr>
        <w:t>一、工程概况</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1、工程名称：</w:t>
      </w:r>
      <w:r>
        <w:rPr>
          <w:rFonts w:hint="eastAsia" w:ascii="黑体" w:hAnsi="黑体" w:eastAsia="黑体" w:cs="宋体"/>
          <w:szCs w:val="21"/>
          <w:u w:val="single"/>
        </w:rPr>
        <w:t xml:space="preserve">                    </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2、建设地点：</w:t>
      </w:r>
      <w:r>
        <w:rPr>
          <w:rFonts w:hint="eastAsia" w:ascii="黑体" w:hAnsi="黑体" w:eastAsia="黑体" w:cs="宋体"/>
          <w:szCs w:val="21"/>
          <w:u w:val="single"/>
        </w:rPr>
        <w:t xml:space="preserve">                    </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3、工程等别(级)：</w:t>
      </w:r>
      <w:r>
        <w:rPr>
          <w:rFonts w:hint="eastAsia" w:ascii="黑体" w:hAnsi="黑体" w:eastAsia="黑体" w:cs="宋体"/>
          <w:szCs w:val="21"/>
          <w:u w:val="single"/>
        </w:rPr>
        <w:t xml:space="preserve">                    </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4、工程总投资(人民币，下同)：</w:t>
      </w:r>
      <w:r>
        <w:rPr>
          <w:rFonts w:hint="eastAsia" w:ascii="黑体" w:hAnsi="黑体" w:eastAsia="黑体" w:cs="宋体"/>
          <w:sz w:val="22"/>
          <w:szCs w:val="21"/>
          <w:u w:val="single"/>
          <w:lang w:val="en-US" w:eastAsia="zh-CN" w:bidi="zh-CN"/>
        </w:rPr>
        <w:t xml:space="preserve">      </w:t>
      </w:r>
      <w:r>
        <w:rPr>
          <w:rFonts w:ascii="黑体" w:hAnsi="黑体" w:eastAsia="黑体" w:cs="宋体"/>
          <w:sz w:val="22"/>
          <w:szCs w:val="21"/>
          <w:lang w:val="zh-CN" w:eastAsia="zh-CN" w:bidi="zh-CN"/>
        </w:rPr>
        <w:t>万元</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5、工期：</w:t>
      </w:r>
      <w:r>
        <w:rPr>
          <w:rFonts w:hint="eastAsia" w:ascii="黑体" w:hAnsi="黑体" w:eastAsia="黑体" w:cs="宋体"/>
          <w:szCs w:val="21"/>
          <w:u w:val="single"/>
        </w:rPr>
        <w:t xml:space="preserve">                    </w:t>
      </w:r>
    </w:p>
    <w:p>
      <w:pPr>
        <w:pStyle w:val="10"/>
        <w:spacing w:before="0" w:beforeAutospacing="0" w:after="0" w:afterAutospacing="0" w:line="480" w:lineRule="auto"/>
        <w:rPr>
          <w:rFonts w:ascii="Times New Roman" w:hAnsi="Times New Roman"/>
        </w:rPr>
      </w:pPr>
      <w:r>
        <w:rPr>
          <w:rFonts w:hint="eastAsia" w:ascii="黑体" w:hAnsi="黑体" w:eastAsia="黑体" w:cs="宋体"/>
          <w:sz w:val="22"/>
          <w:szCs w:val="21"/>
          <w:lang w:val="zh-CN" w:eastAsia="zh-CN" w:bidi="zh-CN"/>
        </w:rPr>
        <w:t>二、监理范围</w:t>
      </w:r>
    </w:p>
    <w:p>
      <w:pPr>
        <w:pStyle w:val="10"/>
        <w:spacing w:before="0" w:beforeAutospacing="0" w:after="0" w:afterAutospacing="0" w:line="480" w:lineRule="auto"/>
        <w:rPr>
          <w:rFonts w:hint="default" w:ascii="黑体" w:hAnsi="黑体" w:eastAsia="黑体" w:cs="宋体"/>
          <w:sz w:val="22"/>
          <w:szCs w:val="21"/>
          <w:u w:val="single"/>
          <w:lang w:val="en-US" w:eastAsia="zh-CN" w:bidi="zh-CN"/>
        </w:rPr>
      </w:pPr>
      <w:r>
        <w:rPr>
          <w:rFonts w:ascii="黑体" w:hAnsi="黑体" w:eastAsia="黑体" w:cs="宋体"/>
          <w:sz w:val="22"/>
          <w:szCs w:val="21"/>
          <w:lang w:val="zh-CN" w:eastAsia="zh-CN" w:bidi="zh-CN"/>
        </w:rPr>
        <w:t>1、监理项目名称：</w:t>
      </w:r>
      <w:r>
        <w:rPr>
          <w:rFonts w:ascii="黑体" w:hAnsi="黑体" w:eastAsia="黑体" w:cs="宋体"/>
          <w:sz w:val="22"/>
          <w:szCs w:val="21"/>
          <w:u w:val="single"/>
          <w:lang w:val="zh-CN" w:eastAsia="zh-CN" w:bidi="zh-CN"/>
        </w:rPr>
        <w:t>施工监理</w:t>
      </w:r>
      <w:r>
        <w:rPr>
          <w:rFonts w:hint="eastAsia" w:ascii="黑体" w:hAnsi="黑体" w:eastAsia="黑体" w:cs="宋体"/>
          <w:sz w:val="22"/>
          <w:szCs w:val="21"/>
          <w:u w:val="single"/>
          <w:lang w:val="en-US" w:eastAsia="zh-CN" w:bidi="zh-CN"/>
        </w:rPr>
        <w:t xml:space="preserve">    </w:t>
      </w:r>
    </w:p>
    <w:p>
      <w:pPr>
        <w:pStyle w:val="10"/>
        <w:spacing w:before="0" w:beforeAutospacing="0" w:after="0" w:afterAutospacing="0" w:line="480" w:lineRule="auto"/>
        <w:rPr>
          <w:rFonts w:hint="eastAsia" w:ascii="黑体" w:hAnsi="黑体" w:eastAsia="黑体" w:cs="宋体"/>
          <w:sz w:val="22"/>
          <w:szCs w:val="21"/>
          <w:lang w:val="zh-CN" w:eastAsia="zh-CN" w:bidi="zh-CN"/>
        </w:rPr>
      </w:pPr>
      <w:r>
        <w:rPr>
          <w:rFonts w:ascii="黑体" w:hAnsi="黑体" w:eastAsia="黑体" w:cs="宋体"/>
          <w:sz w:val="22"/>
          <w:szCs w:val="21"/>
          <w:lang w:val="zh-CN" w:eastAsia="zh-CN" w:bidi="zh-CN"/>
        </w:rPr>
        <w:t>2、监理项目内容及主要特性参数：</w:t>
      </w:r>
      <w:r>
        <w:rPr>
          <w:rFonts w:hint="eastAsia" w:ascii="黑体" w:hAnsi="黑体" w:eastAsia="黑体" w:cs="宋体"/>
          <w:szCs w:val="21"/>
          <w:u w:val="single"/>
        </w:rPr>
        <w:t xml:space="preserve">                    </w:t>
      </w:r>
      <w:r>
        <w:rPr>
          <w:rFonts w:hint="eastAsia" w:ascii="黑体" w:hAnsi="黑体" w:eastAsia="黑体" w:cs="宋体"/>
          <w:szCs w:val="21"/>
          <w:u w:val="single"/>
          <w:lang w:eastAsia="zh-CN"/>
        </w:rPr>
        <w:t>。</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3、监理项目投资：</w:t>
      </w:r>
      <w:r>
        <w:rPr>
          <w:rFonts w:hint="eastAsia" w:ascii="黑体" w:hAnsi="黑体" w:eastAsia="黑体" w:cs="宋体"/>
          <w:szCs w:val="21"/>
          <w:u w:val="single"/>
        </w:rPr>
        <w:t xml:space="preserve">             </w:t>
      </w:r>
      <w:r>
        <w:rPr>
          <w:rFonts w:ascii="黑体" w:hAnsi="黑体" w:eastAsia="黑体" w:cs="宋体"/>
          <w:sz w:val="22"/>
          <w:szCs w:val="21"/>
          <w:lang w:val="zh-CN" w:eastAsia="zh-CN" w:bidi="zh-CN"/>
        </w:rPr>
        <w:t>元</w:t>
      </w:r>
    </w:p>
    <w:p>
      <w:pPr>
        <w:pStyle w:val="10"/>
        <w:spacing w:before="0" w:beforeAutospacing="0" w:after="0" w:afterAutospacing="0" w:line="480" w:lineRule="auto"/>
        <w:rPr>
          <w:rFonts w:ascii="Times New Roman" w:hAnsi="Times New Roman"/>
        </w:rPr>
      </w:pPr>
      <w:r>
        <w:rPr>
          <w:rFonts w:ascii="黑体" w:hAnsi="黑体" w:eastAsia="黑体" w:cs="宋体"/>
          <w:sz w:val="22"/>
          <w:szCs w:val="21"/>
          <w:lang w:val="zh-CN" w:eastAsia="zh-CN" w:bidi="zh-CN"/>
        </w:rPr>
        <w:t>4、监理阶段：</w:t>
      </w:r>
      <w:r>
        <w:rPr>
          <w:rFonts w:hint="eastAsia" w:ascii="黑体" w:hAnsi="黑体" w:eastAsia="黑体" w:cs="宋体"/>
          <w:sz w:val="22"/>
          <w:szCs w:val="21"/>
          <w:u w:val="single"/>
          <w:lang w:val="zh-CN" w:eastAsia="zh-CN" w:bidi="zh-CN"/>
        </w:rPr>
        <w:t>施工准备阶段、施工阶段、验收阶段、保修阶段</w:t>
      </w:r>
      <w:r>
        <w:rPr>
          <w:rFonts w:ascii="黑体" w:hAnsi="黑体" w:eastAsia="黑体" w:cs="宋体"/>
          <w:sz w:val="22"/>
          <w:szCs w:val="21"/>
          <w:u w:val="single"/>
          <w:lang w:val="zh-CN" w:eastAsia="zh-CN" w:bidi="zh-CN"/>
        </w:rPr>
        <w:t xml:space="preserve">     </w:t>
      </w:r>
    </w:p>
    <w:p>
      <w:pPr>
        <w:pStyle w:val="10"/>
        <w:spacing w:before="0" w:beforeAutospacing="0" w:after="0" w:afterAutospacing="0" w:line="480" w:lineRule="auto"/>
        <w:rPr>
          <w:rFonts w:hint="eastAsia" w:ascii="黑体" w:hAnsi="黑体" w:eastAsia="黑体" w:cs="宋体"/>
          <w:sz w:val="22"/>
          <w:szCs w:val="21"/>
          <w:lang w:val="zh-CN" w:eastAsia="zh-CN" w:bidi="zh-CN"/>
        </w:rPr>
      </w:pPr>
      <w:r>
        <w:rPr>
          <w:rFonts w:hint="eastAsia" w:ascii="黑体" w:hAnsi="黑体" w:eastAsia="黑体" w:cs="宋体"/>
          <w:sz w:val="22"/>
          <w:szCs w:val="21"/>
          <w:lang w:val="zh-CN" w:eastAsia="zh-CN" w:bidi="zh-CN"/>
        </w:rPr>
        <w:t>三、监理服务内容、期限</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1、监理服务内容：</w:t>
      </w:r>
      <w:r>
        <w:rPr>
          <w:rFonts w:ascii="黑体" w:hAnsi="黑体" w:eastAsia="黑体" w:cs="宋体"/>
          <w:sz w:val="22"/>
          <w:szCs w:val="21"/>
          <w:u w:val="single"/>
          <w:lang w:val="zh-CN" w:eastAsia="zh-CN" w:bidi="zh-CN"/>
        </w:rPr>
        <w:t xml:space="preserve"> 按专用合同条款约定</w:t>
      </w:r>
      <w:r>
        <w:rPr>
          <w:rFonts w:ascii="黑体" w:hAnsi="黑体" w:eastAsia="黑体" w:cs="宋体"/>
          <w:sz w:val="22"/>
          <w:szCs w:val="21"/>
          <w:lang w:val="zh-CN" w:eastAsia="zh-CN" w:bidi="zh-CN"/>
        </w:rPr>
        <w:t>。</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2、监理服务期限：</w:t>
      </w:r>
      <w:r>
        <w:rPr>
          <w:rFonts w:hint="eastAsia" w:ascii="黑体" w:hAnsi="黑体" w:eastAsia="黑体" w:cs="宋体"/>
          <w:sz w:val="22"/>
          <w:szCs w:val="21"/>
          <w:u w:val="single"/>
          <w:lang w:val="zh-CN" w:eastAsia="zh-CN" w:bidi="zh-CN"/>
        </w:rPr>
        <w:t>自签订监理合同之日起至工程竣工验收、结算完成及工程质量保修期满止</w:t>
      </w:r>
      <w:r>
        <w:rPr>
          <w:rFonts w:ascii="黑体" w:hAnsi="黑体" w:eastAsia="黑体" w:cs="宋体"/>
          <w:sz w:val="22"/>
          <w:szCs w:val="21"/>
          <w:u w:val="single"/>
          <w:lang w:val="zh-CN" w:eastAsia="zh-CN" w:bidi="zh-CN"/>
        </w:rPr>
        <w:t>。</w:t>
      </w:r>
    </w:p>
    <w:p>
      <w:pPr>
        <w:pStyle w:val="10"/>
        <w:spacing w:before="0" w:beforeAutospacing="0" w:after="0" w:afterAutospacing="0" w:line="480" w:lineRule="auto"/>
        <w:rPr>
          <w:rFonts w:hint="eastAsia" w:ascii="黑体" w:hAnsi="黑体" w:eastAsia="黑体" w:cs="宋体"/>
          <w:sz w:val="22"/>
          <w:szCs w:val="21"/>
          <w:lang w:val="zh-CN" w:eastAsia="zh-CN" w:bidi="zh-CN"/>
        </w:rPr>
      </w:pPr>
      <w:r>
        <w:rPr>
          <w:rFonts w:hint="eastAsia" w:ascii="黑体" w:hAnsi="黑体" w:eastAsia="黑体" w:cs="宋体"/>
          <w:sz w:val="22"/>
          <w:szCs w:val="21"/>
          <w:lang w:val="zh-CN" w:eastAsia="zh-CN" w:bidi="zh-CN"/>
        </w:rPr>
        <w:t>四、监理服务酬金</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监理服务酬金为</w:t>
      </w:r>
      <w:r>
        <w:rPr>
          <w:rFonts w:hint="eastAsia" w:ascii="黑体" w:hAnsi="黑体" w:eastAsia="黑体" w:cs="宋体"/>
          <w:sz w:val="22"/>
          <w:szCs w:val="21"/>
          <w:lang w:val="zh-CN" w:eastAsia="zh-CN" w:bidi="zh-CN"/>
        </w:rPr>
        <w:t>（</w:t>
      </w:r>
      <w:r>
        <w:rPr>
          <w:rFonts w:hint="eastAsia" w:ascii="黑体" w:hAnsi="黑体" w:eastAsia="黑体" w:cs="宋体"/>
          <w:sz w:val="22"/>
          <w:szCs w:val="21"/>
          <w:u w:val="single"/>
          <w:lang w:val="en-US" w:eastAsia="zh-CN" w:bidi="zh-CN"/>
        </w:rPr>
        <w:t xml:space="preserve">      </w:t>
      </w:r>
      <w:r>
        <w:rPr>
          <w:rFonts w:hint="eastAsia" w:ascii="黑体" w:hAnsi="黑体" w:eastAsia="黑体" w:cs="宋体"/>
          <w:sz w:val="22"/>
          <w:szCs w:val="21"/>
          <w:lang w:val="zh-CN" w:eastAsia="zh-CN" w:bidi="zh-CN"/>
        </w:rPr>
        <w:t>）</w:t>
      </w:r>
      <w:r>
        <w:rPr>
          <w:rFonts w:ascii="黑体" w:hAnsi="黑体" w:eastAsia="黑体" w:cs="宋体"/>
          <w:sz w:val="22"/>
          <w:szCs w:val="21"/>
          <w:lang w:val="zh-CN" w:eastAsia="zh-CN" w:bidi="zh-CN"/>
        </w:rPr>
        <w:t>，由委托人按专用合同条款约定的方式、时间向监理人支付</w:t>
      </w:r>
      <w:r>
        <w:rPr>
          <w:rFonts w:hint="eastAsia" w:ascii="黑体" w:hAnsi="黑体" w:eastAsia="黑体" w:cs="宋体"/>
          <w:sz w:val="22"/>
          <w:szCs w:val="21"/>
          <w:lang w:val="zh-CN" w:eastAsia="zh-CN" w:bidi="zh-CN"/>
        </w:rPr>
        <w:t>。</w:t>
      </w:r>
    </w:p>
    <w:p>
      <w:pPr>
        <w:pStyle w:val="10"/>
        <w:spacing w:before="0" w:beforeAutospacing="0" w:after="0" w:afterAutospacing="0" w:line="480" w:lineRule="auto"/>
        <w:rPr>
          <w:rFonts w:hint="eastAsia" w:ascii="黑体" w:hAnsi="黑体" w:eastAsia="黑体" w:cs="宋体"/>
          <w:sz w:val="22"/>
          <w:szCs w:val="21"/>
          <w:lang w:val="zh-CN" w:eastAsia="zh-CN" w:bidi="zh-CN"/>
        </w:rPr>
      </w:pPr>
      <w:r>
        <w:rPr>
          <w:rFonts w:hint="eastAsia" w:ascii="黑体" w:hAnsi="黑体" w:eastAsia="黑体" w:cs="宋体"/>
          <w:sz w:val="22"/>
          <w:szCs w:val="21"/>
          <w:lang w:val="zh-CN" w:eastAsia="zh-CN" w:bidi="zh-CN"/>
        </w:rPr>
        <w:t>五、监理合同的组成文件及解释顺序</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1、监理合同书(含补充协议)；</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2、中标通知书；</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3、投标报价书；</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4、专用合同条款；</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5、通用合同条款；</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6、监理大纲；</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7、双方确认需进入合同的其他文件。</w:t>
      </w:r>
    </w:p>
    <w:p>
      <w:pPr>
        <w:pStyle w:val="10"/>
        <w:spacing w:before="0" w:beforeAutospacing="0" w:after="0" w:afterAutospacing="0" w:line="480" w:lineRule="auto"/>
        <w:rPr>
          <w:rFonts w:ascii="黑体" w:hAnsi="黑体" w:eastAsia="黑体" w:cs="宋体"/>
          <w:sz w:val="22"/>
          <w:szCs w:val="21"/>
          <w:lang w:val="zh-CN" w:eastAsia="zh-CN" w:bidi="zh-CN"/>
        </w:rPr>
      </w:pPr>
      <w:r>
        <w:rPr>
          <w:rFonts w:ascii="黑体" w:hAnsi="黑体" w:eastAsia="黑体" w:cs="宋体"/>
          <w:sz w:val="22"/>
          <w:szCs w:val="21"/>
          <w:lang w:val="zh-CN" w:eastAsia="zh-CN" w:bidi="zh-CN"/>
        </w:rPr>
        <w:t>六、本合同书经双方法定代表人或其授权代表人签名并加盖本单位公章后生效。</w:t>
      </w:r>
    </w:p>
    <w:p>
      <w:pPr>
        <w:pStyle w:val="40"/>
        <w:spacing w:line="480" w:lineRule="auto"/>
        <w:ind w:left="220" w:leftChars="100" w:firstLine="158" w:firstLineChars="72"/>
        <w:rPr>
          <w:rFonts w:hint="eastAsia" w:ascii="黑体" w:hAnsi="黑体" w:eastAsia="黑体" w:cs="黑体"/>
          <w:sz w:val="22"/>
          <w:szCs w:val="22"/>
        </w:rPr>
      </w:pPr>
      <w:r>
        <w:rPr>
          <w:rFonts w:hint="eastAsia" w:ascii="黑体" w:hAnsi="黑体" w:eastAsia="黑体" w:cs="黑体"/>
          <w:sz w:val="22"/>
          <w:szCs w:val="22"/>
        </w:rPr>
        <w:t>七、本合同书正本一式贰份，具有同等法律效力，由双方各执一份；副本</w:t>
      </w:r>
      <w:r>
        <w:rPr>
          <w:rFonts w:hint="eastAsia" w:ascii="黑体" w:hAnsi="黑体" w:eastAsia="黑体" w:cs="黑体"/>
          <w:sz w:val="22"/>
          <w:szCs w:val="22"/>
          <w:u w:val="single"/>
          <w:lang w:val="en-US" w:eastAsia="zh-CN"/>
        </w:rPr>
        <w:t xml:space="preserve">  </w:t>
      </w:r>
      <w:r>
        <w:rPr>
          <w:rFonts w:hint="eastAsia" w:ascii="黑体" w:hAnsi="黑体" w:eastAsia="黑体" w:cs="黑体"/>
          <w:sz w:val="22"/>
          <w:szCs w:val="22"/>
          <w:u w:val="single"/>
        </w:rPr>
        <w:t>陆</w:t>
      </w:r>
      <w:r>
        <w:rPr>
          <w:rFonts w:hint="eastAsia" w:ascii="黑体" w:hAnsi="黑体" w:eastAsia="黑体" w:cs="黑体"/>
          <w:sz w:val="22"/>
          <w:szCs w:val="22"/>
          <w:u w:val="single"/>
          <w:lang w:val="en-US" w:eastAsia="zh-CN"/>
        </w:rPr>
        <w:t xml:space="preserve"> </w:t>
      </w:r>
      <w:r>
        <w:rPr>
          <w:rFonts w:hint="eastAsia" w:ascii="黑体" w:hAnsi="黑体" w:eastAsia="黑体" w:cs="黑体"/>
          <w:sz w:val="22"/>
          <w:szCs w:val="22"/>
          <w:u w:val="single"/>
        </w:rPr>
        <w:t xml:space="preserve"> </w:t>
      </w:r>
      <w:r>
        <w:rPr>
          <w:rFonts w:hint="eastAsia" w:ascii="黑体" w:hAnsi="黑体" w:eastAsia="黑体" w:cs="黑体"/>
          <w:sz w:val="22"/>
          <w:szCs w:val="22"/>
        </w:rPr>
        <w:t>份，委托人执</w:t>
      </w:r>
      <w:r>
        <w:rPr>
          <w:rFonts w:hint="eastAsia" w:ascii="黑体" w:hAnsi="黑体" w:eastAsia="黑体" w:cs="黑体"/>
          <w:sz w:val="22"/>
          <w:szCs w:val="22"/>
          <w:u w:val="single"/>
          <w:lang w:val="en-US" w:eastAsia="zh-CN"/>
        </w:rPr>
        <w:t xml:space="preserve">  </w:t>
      </w:r>
      <w:r>
        <w:rPr>
          <w:rFonts w:hint="eastAsia" w:ascii="黑体" w:hAnsi="黑体" w:eastAsia="黑体" w:cs="黑体"/>
          <w:sz w:val="22"/>
          <w:szCs w:val="22"/>
          <w:u w:val="single"/>
        </w:rPr>
        <w:t xml:space="preserve">叁  </w:t>
      </w:r>
      <w:r>
        <w:rPr>
          <w:rFonts w:hint="eastAsia" w:ascii="黑体" w:hAnsi="黑体" w:eastAsia="黑体" w:cs="黑体"/>
          <w:sz w:val="22"/>
          <w:szCs w:val="22"/>
        </w:rPr>
        <w:t>份，监理人执</w:t>
      </w:r>
      <w:r>
        <w:rPr>
          <w:rFonts w:hint="eastAsia" w:ascii="黑体" w:hAnsi="黑体" w:eastAsia="黑体" w:cs="黑体"/>
          <w:sz w:val="22"/>
          <w:szCs w:val="22"/>
          <w:u w:val="single"/>
          <w:lang w:val="en-US" w:eastAsia="zh-CN"/>
        </w:rPr>
        <w:t xml:space="preserve">  </w:t>
      </w:r>
      <w:r>
        <w:rPr>
          <w:rFonts w:hint="eastAsia" w:ascii="黑体" w:hAnsi="黑体" w:eastAsia="黑体" w:cs="黑体"/>
          <w:sz w:val="22"/>
          <w:szCs w:val="22"/>
          <w:u w:val="single"/>
        </w:rPr>
        <w:t>叁</w:t>
      </w:r>
      <w:r>
        <w:rPr>
          <w:rFonts w:hint="eastAsia" w:ascii="黑体" w:hAnsi="黑体" w:eastAsia="黑体" w:cs="黑体"/>
          <w:sz w:val="22"/>
          <w:szCs w:val="22"/>
          <w:u w:val="single"/>
          <w:lang w:val="en-US" w:eastAsia="zh-CN"/>
        </w:rPr>
        <w:t xml:space="preserve"> </w:t>
      </w:r>
      <w:r>
        <w:rPr>
          <w:rFonts w:hint="eastAsia" w:ascii="黑体" w:hAnsi="黑体" w:eastAsia="黑体" w:cs="黑体"/>
          <w:sz w:val="22"/>
          <w:szCs w:val="22"/>
          <w:u w:val="single"/>
        </w:rPr>
        <w:t xml:space="preserve"> </w:t>
      </w:r>
      <w:r>
        <w:rPr>
          <w:rFonts w:hint="eastAsia" w:ascii="黑体" w:hAnsi="黑体" w:eastAsia="黑体" w:cs="黑体"/>
          <w:sz w:val="22"/>
          <w:szCs w:val="22"/>
        </w:rPr>
        <w:t>份。</w:t>
      </w:r>
    </w:p>
    <w:p>
      <w:pPr>
        <w:spacing w:before="156" w:beforeLines="50" w:line="480" w:lineRule="auto"/>
        <w:rPr>
          <w:rFonts w:hint="eastAsia" w:ascii="黑体" w:hAnsi="黑体" w:eastAsia="黑体" w:cs="宋体"/>
          <w:szCs w:val="21"/>
        </w:rPr>
      </w:pPr>
    </w:p>
    <w:p>
      <w:pPr>
        <w:tabs>
          <w:tab w:val="left" w:pos="4160"/>
        </w:tabs>
        <w:spacing w:line="480" w:lineRule="auto"/>
        <w:rPr>
          <w:rFonts w:hint="eastAsia" w:ascii="黑体" w:hAnsi="黑体" w:eastAsia="黑体" w:cs="黑体"/>
          <w:color w:val="auto"/>
          <w:sz w:val="22"/>
          <w:szCs w:val="22"/>
          <w:u w:val="single"/>
        </w:rPr>
      </w:pPr>
      <w:r>
        <w:rPr>
          <w:rFonts w:hint="eastAsia" w:ascii="黑体" w:hAnsi="黑体" w:eastAsia="黑体" w:cs="黑体"/>
          <w:color w:val="auto"/>
          <w:sz w:val="22"/>
          <w:szCs w:val="22"/>
        </w:rPr>
        <w:t>发包人：</w:t>
      </w:r>
      <w:r>
        <w:rPr>
          <w:rFonts w:hint="eastAsia" w:ascii="黑体" w:hAnsi="黑体" w:eastAsia="黑体" w:cs="黑体"/>
          <w:color w:val="auto"/>
          <w:sz w:val="22"/>
          <w:szCs w:val="22"/>
          <w:u w:val="single"/>
        </w:rPr>
        <w:t>新兴县水利工程建设管理中心</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监理人：</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u w:val="single"/>
        </w:rPr>
        <w:t xml:space="preserve"> </w:t>
      </w:r>
    </w:p>
    <w:p>
      <w:pPr>
        <w:tabs>
          <w:tab w:val="left" w:pos="4160"/>
        </w:tabs>
        <w:spacing w:line="480" w:lineRule="auto"/>
        <w:ind w:firstLine="1540" w:firstLineChars="700"/>
        <w:rPr>
          <w:rFonts w:hint="eastAsia" w:ascii="黑体" w:hAnsi="黑体" w:eastAsia="黑体" w:cs="黑体"/>
          <w:color w:val="auto"/>
          <w:sz w:val="22"/>
          <w:szCs w:val="22"/>
        </w:rPr>
      </w:pPr>
      <w:r>
        <w:rPr>
          <w:rFonts w:hint="eastAsia" w:ascii="黑体" w:hAnsi="黑体" w:eastAsia="黑体" w:cs="黑体"/>
          <w:color w:val="auto"/>
          <w:sz w:val="22"/>
          <w:szCs w:val="22"/>
        </w:rPr>
        <w:t xml:space="preserve">（盖章）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（盖章）</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法定代表人：</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法定代表人：</w:t>
      </w:r>
      <w:r>
        <w:rPr>
          <w:rFonts w:hint="eastAsia" w:ascii="黑体" w:hAnsi="黑体" w:eastAsia="黑体" w:cs="黑体"/>
          <w:color w:val="auto"/>
          <w:sz w:val="22"/>
          <w:szCs w:val="22"/>
          <w:u w:val="single"/>
        </w:rPr>
        <w:t xml:space="preserve">               </w:t>
      </w:r>
    </w:p>
    <w:p>
      <w:pPr>
        <w:spacing w:line="480" w:lineRule="auto"/>
        <w:ind w:left="-1113" w:leftChars="-506" w:firstLine="1678" w:firstLineChars="763"/>
        <w:rPr>
          <w:rFonts w:hint="eastAsia" w:ascii="黑体" w:hAnsi="黑体" w:eastAsia="黑体" w:cs="黑体"/>
          <w:color w:val="auto"/>
          <w:sz w:val="22"/>
          <w:szCs w:val="22"/>
        </w:rPr>
      </w:pP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或授权代表人：</w:t>
      </w:r>
      <w:r>
        <w:rPr>
          <w:rFonts w:hint="eastAsia" w:ascii="黑体" w:hAnsi="黑体" w:eastAsia="黑体" w:cs="黑体"/>
          <w:color w:val="auto"/>
          <w:sz w:val="22"/>
          <w:szCs w:val="22"/>
          <w:u w:val="single"/>
        </w:rPr>
        <w:t xml:space="preserve">  （签名）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或授权代表人：</w:t>
      </w:r>
      <w:r>
        <w:rPr>
          <w:rFonts w:hint="eastAsia" w:ascii="黑体" w:hAnsi="黑体" w:eastAsia="黑体" w:cs="黑体"/>
          <w:color w:val="auto"/>
          <w:sz w:val="22"/>
          <w:szCs w:val="22"/>
          <w:u w:val="single"/>
        </w:rPr>
        <w:t xml:space="preserve"> （签名）   </w:t>
      </w:r>
    </w:p>
    <w:p>
      <w:pPr>
        <w:spacing w:line="480" w:lineRule="auto"/>
        <w:ind w:left="5760" w:hanging="5280" w:hangingChars="2400"/>
        <w:rPr>
          <w:rFonts w:hint="eastAsia" w:ascii="黑体" w:hAnsi="黑体" w:eastAsia="黑体" w:cs="黑体"/>
          <w:color w:val="auto"/>
          <w:sz w:val="22"/>
          <w:szCs w:val="22"/>
        </w:rPr>
      </w:pPr>
      <w:r>
        <w:rPr>
          <w:rFonts w:hint="eastAsia" w:ascii="黑体" w:hAnsi="黑体" w:eastAsia="黑体" w:cs="黑体"/>
          <w:color w:val="auto"/>
          <w:sz w:val="22"/>
          <w:szCs w:val="22"/>
        </w:rPr>
        <w:t>单位地址：</w:t>
      </w:r>
      <w:r>
        <w:rPr>
          <w:rFonts w:hint="eastAsia" w:ascii="黑体" w:hAnsi="黑体" w:eastAsia="黑体" w:cs="黑体"/>
          <w:color w:val="auto"/>
          <w:sz w:val="22"/>
          <w:szCs w:val="22"/>
          <w:u w:val="single"/>
        </w:rPr>
        <w:t xml:space="preserve"> 新兴县新城镇沿江北路27号</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单位地址：</w:t>
      </w:r>
      <w:r>
        <w:rPr>
          <w:rFonts w:hint="eastAsia" w:ascii="黑体" w:hAnsi="黑体" w:eastAsia="黑体" w:cs="黑体"/>
          <w:color w:val="auto"/>
          <w:sz w:val="22"/>
          <w:szCs w:val="22"/>
          <w:u w:val="single"/>
        </w:rPr>
        <w:t xml:space="preserve">                  </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邮政编码：</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邮政编码：</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u w:val="single"/>
        </w:rPr>
        <w:t xml:space="preserve">     </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电    话：</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电    话：</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u w:val="single"/>
        </w:rPr>
        <w:t xml:space="preserve">     </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电子信箱：</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电子信箱：</w:t>
      </w:r>
      <w:r>
        <w:rPr>
          <w:rFonts w:hint="eastAsia" w:ascii="黑体" w:hAnsi="黑体" w:eastAsia="黑体" w:cs="黑体"/>
          <w:color w:val="auto"/>
          <w:sz w:val="22"/>
          <w:szCs w:val="22"/>
          <w:u w:val="single"/>
        </w:rPr>
        <w:t xml:space="preserve">                  </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传    真：</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传    真：</w:t>
      </w:r>
      <w:r>
        <w:rPr>
          <w:rFonts w:hint="eastAsia" w:ascii="黑体" w:hAnsi="黑体" w:eastAsia="黑体" w:cs="黑体"/>
          <w:color w:val="auto"/>
          <w:sz w:val="22"/>
          <w:szCs w:val="22"/>
          <w:u w:val="single"/>
        </w:rPr>
        <w:t xml:space="preserve">                  </w:t>
      </w:r>
    </w:p>
    <w:p>
      <w:pPr>
        <w:spacing w:line="480" w:lineRule="auto"/>
        <w:ind w:left="6240" w:hanging="5720" w:hangingChars="2600"/>
        <w:rPr>
          <w:rFonts w:hint="eastAsia" w:ascii="黑体" w:hAnsi="黑体" w:eastAsia="黑体" w:cs="黑体"/>
          <w:color w:val="auto"/>
          <w:sz w:val="22"/>
          <w:szCs w:val="22"/>
        </w:rPr>
      </w:pPr>
      <w:r>
        <w:rPr>
          <w:rFonts w:hint="eastAsia" w:ascii="黑体" w:hAnsi="黑体" w:eastAsia="黑体" w:cs="黑体"/>
          <w:color w:val="auto"/>
          <w:sz w:val="22"/>
          <w:szCs w:val="22"/>
        </w:rPr>
        <w:t>开户银行：</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开户银行：</w:t>
      </w:r>
      <w:r>
        <w:rPr>
          <w:rFonts w:hint="eastAsia" w:ascii="黑体" w:hAnsi="黑体" w:eastAsia="黑体" w:cs="黑体"/>
          <w:color w:val="auto"/>
          <w:sz w:val="22"/>
          <w:szCs w:val="22"/>
          <w:u w:val="single"/>
        </w:rPr>
        <w:t xml:space="preserve">                  </w:t>
      </w:r>
    </w:p>
    <w:p>
      <w:pPr>
        <w:spacing w:line="480" w:lineRule="auto"/>
        <w:rPr>
          <w:rFonts w:hint="eastAsia" w:ascii="黑体" w:hAnsi="黑体" w:eastAsia="黑体" w:cs="黑体"/>
          <w:color w:val="auto"/>
          <w:sz w:val="22"/>
          <w:szCs w:val="22"/>
        </w:rPr>
      </w:pPr>
      <w:r>
        <w:rPr>
          <w:rFonts w:hint="eastAsia" w:ascii="黑体" w:hAnsi="黑体" w:eastAsia="黑体" w:cs="黑体"/>
          <w:color w:val="auto"/>
          <w:sz w:val="22"/>
          <w:szCs w:val="22"/>
        </w:rPr>
        <w:t>帐    号：</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 xml:space="preserve">        </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rPr>
        <w:t>帐    号：</w:t>
      </w:r>
      <w:r>
        <w:rPr>
          <w:rFonts w:hint="eastAsia" w:ascii="黑体" w:hAnsi="黑体" w:eastAsia="黑体" w:cs="黑体"/>
          <w:color w:val="auto"/>
          <w:sz w:val="22"/>
          <w:szCs w:val="22"/>
          <w:u w:val="single"/>
        </w:rPr>
        <w:t xml:space="preserve">                  </w:t>
      </w:r>
    </w:p>
    <w:p>
      <w:pPr>
        <w:spacing w:line="360" w:lineRule="auto"/>
        <w:rPr>
          <w:rFonts w:hint="eastAsia" w:ascii="黑体" w:hAnsi="黑体" w:eastAsia="黑体" w:cs="黑体"/>
          <w:color w:val="auto"/>
          <w:sz w:val="22"/>
          <w:szCs w:val="22"/>
          <w:u w:val="single"/>
        </w:rPr>
      </w:pPr>
      <w:r>
        <w:rPr>
          <w:rFonts w:hint="eastAsia" w:ascii="黑体" w:hAnsi="黑体" w:eastAsia="黑体" w:cs="黑体"/>
          <w:color w:val="auto"/>
          <w:sz w:val="22"/>
          <w:szCs w:val="22"/>
        </w:rPr>
        <w:t>签订地点</w:t>
      </w:r>
      <w:r>
        <w:rPr>
          <w:rFonts w:hint="eastAsia" w:ascii="黑体" w:hAnsi="黑体" w:eastAsia="黑体" w:cs="黑体"/>
          <w:b/>
          <w:bCs/>
          <w:color w:val="auto"/>
          <w:sz w:val="22"/>
          <w:szCs w:val="22"/>
        </w:rPr>
        <w:t>：</w:t>
      </w:r>
      <w:r>
        <w:rPr>
          <w:rFonts w:hint="eastAsia" w:ascii="黑体" w:hAnsi="黑体" w:eastAsia="黑体" w:cs="黑体"/>
          <w:color w:val="auto"/>
          <w:sz w:val="22"/>
          <w:szCs w:val="22"/>
          <w:u w:val="single"/>
        </w:rPr>
        <w:t>云浮市新兴县</w:t>
      </w:r>
    </w:p>
    <w:p>
      <w:pPr>
        <w:spacing w:line="480" w:lineRule="auto"/>
        <w:rPr>
          <w:rFonts w:hint="eastAsia" w:ascii="黑体" w:hAnsi="黑体" w:eastAsia="黑体" w:cs="宋体"/>
          <w:szCs w:val="21"/>
        </w:rPr>
      </w:pPr>
      <w:r>
        <w:rPr>
          <w:rFonts w:hint="eastAsia" w:ascii="黑体" w:hAnsi="黑体" w:eastAsia="黑体" w:cs="黑体"/>
          <w:color w:val="auto"/>
          <w:sz w:val="22"/>
          <w:szCs w:val="22"/>
        </w:rPr>
        <w:t>签订时间：</w:t>
      </w:r>
      <w:r>
        <w:rPr>
          <w:rFonts w:hint="eastAsia" w:ascii="黑体" w:hAnsi="黑体" w:eastAsia="黑体" w:cs="黑体"/>
          <w:color w:val="auto"/>
          <w:sz w:val="22"/>
          <w:szCs w:val="22"/>
          <w:u w:val="single"/>
        </w:rPr>
        <w:t>20</w:t>
      </w:r>
      <w:r>
        <w:rPr>
          <w:rFonts w:hint="eastAsia" w:ascii="黑体" w:hAnsi="黑体" w:eastAsia="黑体" w:cs="黑体"/>
          <w:color w:val="auto"/>
          <w:sz w:val="22"/>
          <w:szCs w:val="22"/>
          <w:u w:val="single"/>
          <w:lang w:val="en-US" w:eastAsia="zh-CN"/>
        </w:rPr>
        <w:t xml:space="preserve">  </w:t>
      </w:r>
      <w:r>
        <w:rPr>
          <w:rFonts w:hint="eastAsia" w:ascii="黑体" w:hAnsi="黑体" w:eastAsia="黑体" w:cs="黑体"/>
          <w:color w:val="auto"/>
          <w:sz w:val="22"/>
          <w:szCs w:val="22"/>
        </w:rPr>
        <w:t>年</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月</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日</w:t>
      </w:r>
    </w:p>
    <w:p>
      <w:pPr>
        <w:autoSpaceDE w:val="0"/>
        <w:autoSpaceDN w:val="0"/>
        <w:adjustRightInd w:val="0"/>
        <w:snapToGrid w:val="0"/>
        <w:spacing w:before="100" w:beforeAutospacing="1" w:after="100" w:afterAutospacing="1" w:line="480" w:lineRule="auto"/>
        <w:ind w:firstLine="340"/>
        <w:jc w:val="center"/>
        <w:rPr>
          <w:rFonts w:hint="eastAsia" w:ascii="黑体" w:hAnsi="黑体" w:eastAsia="黑体" w:cs="黑体"/>
          <w:b/>
          <w:bCs/>
          <w:color w:val="auto"/>
          <w:kern w:val="0"/>
          <w:sz w:val="22"/>
          <w:szCs w:val="22"/>
        </w:rPr>
      </w:pPr>
      <w:r>
        <w:rPr>
          <w:rFonts w:hint="eastAsia" w:ascii="黑体" w:hAnsi="黑体" w:eastAsia="黑体" w:cs="黑体"/>
          <w:b/>
          <w:bCs/>
          <w:color w:val="auto"/>
          <w:kern w:val="0"/>
          <w:sz w:val="22"/>
          <w:szCs w:val="22"/>
        </w:rPr>
        <w:t>（二） 通用合同条款及专用合同条款</w:t>
      </w:r>
    </w:p>
    <w:p>
      <w:pPr>
        <w:spacing w:line="480" w:lineRule="auto"/>
        <w:jc w:val="center"/>
        <w:outlineLvl w:val="0"/>
        <w:rPr>
          <w:rFonts w:hint="eastAsia" w:ascii="黑体" w:hAnsi="黑体" w:eastAsia="黑体" w:cs="黑体"/>
          <w:bCs/>
          <w:color w:val="auto"/>
          <w:sz w:val="22"/>
          <w:szCs w:val="22"/>
        </w:rPr>
      </w:pPr>
      <w:bookmarkStart w:id="52" w:name="_Toc511313796"/>
      <w:r>
        <w:rPr>
          <w:rFonts w:hint="eastAsia" w:ascii="黑体" w:hAnsi="黑体" w:eastAsia="黑体" w:cs="黑体"/>
          <w:bCs/>
          <w:color w:val="auto"/>
          <w:sz w:val="22"/>
          <w:szCs w:val="22"/>
        </w:rPr>
        <w:t>第一部分   通用合同条款</w:t>
      </w:r>
      <w:bookmarkEnd w:id="52"/>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3" w:name="_Toc511313797"/>
      <w:r>
        <w:rPr>
          <w:rFonts w:hint="eastAsia" w:ascii="黑体" w:hAnsi="黑体" w:eastAsia="黑体" w:cs="黑体"/>
          <w:bCs/>
          <w:color w:val="auto"/>
          <w:sz w:val="22"/>
          <w:szCs w:val="22"/>
        </w:rPr>
        <w:t>词语涵义及适用语言</w:t>
      </w:r>
      <w:bookmarkEnd w:id="53"/>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第一条</w:t>
      </w:r>
      <w:r>
        <w:rPr>
          <w:rFonts w:hint="eastAsia" w:ascii="黑体" w:hAnsi="黑体" w:eastAsia="黑体" w:cs="黑体"/>
          <w:color w:val="auto"/>
          <w:sz w:val="22"/>
          <w:szCs w:val="22"/>
        </w:rPr>
        <w:t xml:space="preserve"> 下列名词和用语，除上下文另有约定外，具有本条所赋予的涵义：</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一、“委托人”指承担工程建设项目直接建设管理责任，委托监理业务的法人或其合法继承人。</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二、“监理人”指受委托人委托，提供监理服务的法人或其合法继承人。</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三、“承包人”指与委托人(发包人)签订了施工合同，承担工程施工的法人或其合法继承人。</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四、“监理机构”指监理人派驻工程现场直接开展监理业务的组织，由总监理工程师、监理工程师和监理员以及其他人员组成。</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五、“监理项目”是指委托人委托监理人实施建设监理的工程建设项目。</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六、“服务”是指监理人根据监理合同约定所承担的各项工作，包括正常服务和附加服务。</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七、“正常服务”指监理人按照合同约定的监理范围、内容和期限所提供的服务。</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八、“附加服务”指监理人为委托人提供正常服务以外的服务。</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九、“服务酬金”指本合同中监理人完成“正常服务”、“附加服务”应得到的正常服务酬金和附加服务酬金。</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十、“天”指日历天。</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十一、“现场”指监理项目实施的场所。</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第二条 </w:t>
      </w:r>
      <w:r>
        <w:rPr>
          <w:rFonts w:hint="eastAsia" w:ascii="黑体" w:hAnsi="黑体" w:eastAsia="黑体" w:cs="黑体"/>
          <w:color w:val="auto"/>
          <w:sz w:val="22"/>
          <w:szCs w:val="22"/>
        </w:rPr>
        <w:t>本合同适用的语言文字为汉语文字。</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4" w:name="_Toc511313798"/>
      <w:r>
        <w:rPr>
          <w:rFonts w:hint="eastAsia" w:ascii="黑体" w:hAnsi="黑体" w:eastAsia="黑体" w:cs="黑体"/>
          <w:bCs/>
          <w:color w:val="auto"/>
          <w:sz w:val="22"/>
          <w:szCs w:val="22"/>
        </w:rPr>
        <w:t>监理依据</w:t>
      </w:r>
      <w:bookmarkEnd w:id="54"/>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第三条</w:t>
      </w:r>
      <w:r>
        <w:rPr>
          <w:rFonts w:hint="eastAsia" w:ascii="黑体" w:hAnsi="黑体" w:eastAsia="黑体" w:cs="黑体"/>
          <w:color w:val="auto"/>
          <w:sz w:val="22"/>
          <w:szCs w:val="22"/>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5" w:name="_Toc511313799"/>
      <w:r>
        <w:rPr>
          <w:rFonts w:hint="eastAsia" w:ascii="黑体" w:hAnsi="黑体" w:eastAsia="黑体" w:cs="黑体"/>
          <w:bCs/>
          <w:color w:val="auto"/>
          <w:sz w:val="22"/>
          <w:szCs w:val="22"/>
        </w:rPr>
        <w:t>通知和联系</w:t>
      </w:r>
      <w:bookmarkEnd w:id="55"/>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第四条 </w:t>
      </w:r>
      <w:r>
        <w:rPr>
          <w:rFonts w:hint="eastAsia" w:ascii="黑体" w:hAnsi="黑体" w:eastAsia="黑体" w:cs="黑体"/>
          <w:color w:val="auto"/>
          <w:sz w:val="22"/>
          <w:szCs w:val="22"/>
        </w:rPr>
        <w:t>委托人应指定一名联系人，负责与监理机构联系。更换联系人时，应提前通知监理人。</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第五条</w:t>
      </w:r>
      <w:r>
        <w:rPr>
          <w:rFonts w:hint="eastAsia" w:ascii="黑体" w:hAnsi="黑体" w:eastAsia="黑体" w:cs="黑体"/>
          <w:color w:val="auto"/>
          <w:sz w:val="22"/>
          <w:szCs w:val="22"/>
        </w:rPr>
        <w:t xml:space="preserve"> 在监理合同实施过程中，双方的联系均应以书面函件为准。在不做出紧急处理即可能导致安全、质量事故的情况下，可先以口头形式通知，并在48小时内补做书面通知。</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第六条</w:t>
      </w:r>
      <w:r>
        <w:rPr>
          <w:rFonts w:hint="eastAsia" w:ascii="黑体" w:hAnsi="黑体" w:eastAsia="黑体" w:cs="黑体"/>
          <w:color w:val="auto"/>
          <w:sz w:val="22"/>
          <w:szCs w:val="22"/>
        </w:rPr>
        <w:t xml:space="preserve"> 委托人对委托监理范围内工程项目实施的意见和决策，应通过监理机构下达，法律、法规另有规定的除外。</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6" w:name="_Toc511313800"/>
      <w:r>
        <w:rPr>
          <w:rFonts w:hint="eastAsia" w:ascii="黑体" w:hAnsi="黑体" w:eastAsia="黑体" w:cs="黑体"/>
          <w:bCs/>
          <w:color w:val="auto"/>
          <w:sz w:val="22"/>
          <w:szCs w:val="22"/>
        </w:rPr>
        <w:t>委托人的权利</w:t>
      </w:r>
      <w:bookmarkEnd w:id="56"/>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第七条</w:t>
      </w:r>
      <w:r>
        <w:rPr>
          <w:rFonts w:hint="eastAsia" w:ascii="黑体" w:hAnsi="黑体" w:eastAsia="黑体" w:cs="黑体"/>
          <w:color w:val="auto"/>
          <w:sz w:val="22"/>
          <w:szCs w:val="22"/>
        </w:rPr>
        <w:t xml:space="preserve"> 委托人享有如下权利：</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一、对监理工作进行监督、检查，并提出撤换不能胜任监理工作人员的建议或要求；</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二、</w:t>
      </w:r>
      <w:r>
        <w:rPr>
          <w:rFonts w:hint="eastAsia" w:ascii="黑体" w:hAnsi="黑体" w:eastAsia="黑体" w:cs="黑体"/>
          <w:color w:val="auto"/>
          <w:sz w:val="22"/>
          <w:szCs w:val="22"/>
        </w:rPr>
        <w:t>对工程建设中质量、安全、投资、进度方面的重大问题的决策权；</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三、</w:t>
      </w:r>
      <w:r>
        <w:rPr>
          <w:rFonts w:hint="eastAsia" w:ascii="黑体" w:hAnsi="黑体" w:eastAsia="黑体" w:cs="黑体"/>
          <w:bCs/>
          <w:color w:val="auto"/>
          <w:sz w:val="22"/>
          <w:szCs w:val="22"/>
        </w:rPr>
        <w:t>核定监理人签发的工程计量、付款凭证</w:t>
      </w:r>
      <w:r>
        <w:rPr>
          <w:rFonts w:hint="eastAsia" w:ascii="黑体" w:hAnsi="黑体" w:eastAsia="黑体" w:cs="黑体"/>
          <w:color w:val="auto"/>
          <w:sz w:val="22"/>
          <w:szCs w:val="22"/>
        </w:rPr>
        <w:t>；</w:t>
      </w:r>
    </w:p>
    <w:p>
      <w:pPr>
        <w:tabs>
          <w:tab w:val="left" w:pos="-180"/>
        </w:tabs>
        <w:spacing w:line="480" w:lineRule="auto"/>
        <w:ind w:firstLine="440" w:firstLineChars="200"/>
        <w:rPr>
          <w:rFonts w:hint="eastAsia" w:ascii="黑体" w:hAnsi="黑体" w:eastAsia="黑体" w:cs="黑体"/>
          <w:b/>
          <w:color w:val="auto"/>
          <w:sz w:val="22"/>
          <w:szCs w:val="22"/>
        </w:rPr>
      </w:pPr>
      <w:r>
        <w:rPr>
          <w:rFonts w:hint="eastAsia" w:ascii="黑体" w:hAnsi="黑体" w:eastAsia="黑体" w:cs="黑体"/>
          <w:color w:val="auto"/>
          <w:sz w:val="22"/>
          <w:szCs w:val="22"/>
        </w:rPr>
        <w:t>四、要求监理人提交监理月报、监理专题报告、监理工作报告和监理工作总结报告；</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五、</w:t>
      </w:r>
      <w:r>
        <w:rPr>
          <w:rFonts w:hint="eastAsia" w:ascii="黑体" w:hAnsi="黑体" w:eastAsia="黑体" w:cs="黑体"/>
          <w:bCs/>
          <w:color w:val="auto"/>
          <w:sz w:val="22"/>
          <w:szCs w:val="22"/>
        </w:rPr>
        <w:t>当</w:t>
      </w:r>
      <w:r>
        <w:rPr>
          <w:rFonts w:hint="eastAsia" w:ascii="黑体" w:hAnsi="黑体" w:eastAsia="黑体" w:cs="黑体"/>
          <w:color w:val="auto"/>
          <w:sz w:val="22"/>
          <w:szCs w:val="22"/>
        </w:rPr>
        <w:t>监理人发生本合同专用条款约定的违约情形时，有权解除本合同。</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7" w:name="_Toc511313801"/>
      <w:r>
        <w:rPr>
          <w:rFonts w:hint="eastAsia" w:ascii="黑体" w:hAnsi="黑体" w:eastAsia="黑体" w:cs="黑体"/>
          <w:bCs/>
          <w:color w:val="auto"/>
          <w:sz w:val="22"/>
          <w:szCs w:val="22"/>
        </w:rPr>
        <w:t>监理人的权利</w:t>
      </w:r>
      <w:bookmarkEnd w:id="57"/>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第八条 </w:t>
      </w:r>
      <w:r>
        <w:rPr>
          <w:rFonts w:hint="eastAsia" w:ascii="黑体" w:hAnsi="黑体" w:eastAsia="黑体" w:cs="黑体"/>
          <w:color w:val="auto"/>
          <w:sz w:val="22"/>
          <w:szCs w:val="22"/>
        </w:rPr>
        <w:t>委托人赋予监理人如下权利：</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一、审查承包人拟选择的分包项目和分包人，报委托人批准；</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二、审查承包人提交的施工组织设计、安全技术措施及专项施工方案等各类文件；</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三、核查并签发施工图纸；</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四、签发合同项目开工令、暂停施工指示，但应事先征得委托人同意；签发进场通知、复工通知；</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五、审核和签发工程计量、付款凭证；</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六、核查承包人现场工作人员数量及相应岗位资格，有权要求承包人撤换不称职的现场工作人员；</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七、发现承包人使用的施工设备影响工程质量或进度时，有权要求承包人增加或更换施工设备；</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八、</w:t>
      </w:r>
      <w:r>
        <w:rPr>
          <w:rFonts w:hint="eastAsia" w:ascii="黑体" w:hAnsi="黑体" w:eastAsia="黑体" w:cs="黑体"/>
          <w:bCs/>
          <w:color w:val="auto"/>
          <w:sz w:val="22"/>
          <w:szCs w:val="22"/>
        </w:rPr>
        <w:t>当</w:t>
      </w:r>
      <w:r>
        <w:rPr>
          <w:rFonts w:hint="eastAsia" w:ascii="黑体" w:hAnsi="黑体" w:eastAsia="黑体" w:cs="黑体"/>
          <w:color w:val="auto"/>
          <w:sz w:val="22"/>
          <w:szCs w:val="22"/>
        </w:rPr>
        <w:t>委托人发生本合同专用条款约定的违约情形时，有权解除本合同；</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九、专用合同条款约定的其他权利。</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8" w:name="_Toc511313802"/>
      <w:r>
        <w:rPr>
          <w:rFonts w:hint="eastAsia" w:ascii="黑体" w:hAnsi="黑体" w:eastAsia="黑体" w:cs="黑体"/>
          <w:bCs/>
          <w:color w:val="auto"/>
          <w:sz w:val="22"/>
          <w:szCs w:val="22"/>
        </w:rPr>
        <w:t>委托人的义务</w:t>
      </w:r>
      <w:bookmarkEnd w:id="58"/>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第九条 </w:t>
      </w:r>
      <w:r>
        <w:rPr>
          <w:rFonts w:hint="eastAsia" w:ascii="黑体" w:hAnsi="黑体" w:eastAsia="黑体" w:cs="黑体"/>
          <w:color w:val="auto"/>
          <w:sz w:val="22"/>
          <w:szCs w:val="22"/>
        </w:rPr>
        <w:t>工程建设外部环境的协调工作。</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第十条 </w:t>
      </w:r>
      <w:r>
        <w:rPr>
          <w:rFonts w:hint="eastAsia" w:ascii="黑体" w:hAnsi="黑体" w:eastAsia="黑体" w:cs="黑体"/>
          <w:color w:val="auto"/>
          <w:sz w:val="22"/>
          <w:szCs w:val="22"/>
        </w:rPr>
        <w:t>按专用合同条款约定的时间、数量、方式，免费向监理机构提供开展监理服务的有关本工程建设的资料。</w:t>
      </w:r>
    </w:p>
    <w:p>
      <w:pPr>
        <w:tabs>
          <w:tab w:val="left" w:pos="-180"/>
        </w:tabs>
        <w:spacing w:line="480" w:lineRule="auto"/>
        <w:ind w:firstLine="442" w:firstLineChars="200"/>
        <w:rPr>
          <w:rFonts w:hint="eastAsia" w:ascii="黑体" w:hAnsi="黑体" w:eastAsia="黑体" w:cs="黑体"/>
          <w:dstrike/>
          <w:color w:val="auto"/>
          <w:sz w:val="22"/>
          <w:szCs w:val="22"/>
        </w:rPr>
      </w:pPr>
      <w:r>
        <w:rPr>
          <w:rFonts w:hint="eastAsia" w:ascii="黑体" w:hAnsi="黑体" w:eastAsia="黑体" w:cs="黑体"/>
          <w:b/>
          <w:color w:val="auto"/>
          <w:sz w:val="22"/>
          <w:szCs w:val="22"/>
        </w:rPr>
        <w:t>第十一条</w:t>
      </w:r>
      <w:r>
        <w:rPr>
          <w:rFonts w:hint="eastAsia" w:ascii="黑体" w:hAnsi="黑体" w:eastAsia="黑体" w:cs="黑体"/>
          <w:color w:val="auto"/>
          <w:sz w:val="22"/>
          <w:szCs w:val="22"/>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第十二条 </w:t>
      </w:r>
      <w:r>
        <w:rPr>
          <w:rFonts w:hint="eastAsia" w:ascii="黑体" w:hAnsi="黑体" w:eastAsia="黑体" w:cs="黑体"/>
          <w:color w:val="auto"/>
          <w:sz w:val="22"/>
          <w:szCs w:val="22"/>
        </w:rPr>
        <w:t>与承包人签订的施工合同中明确其赋予监理人的权限，并在工程开工前将监理单位、总监理工程师通知承包人。</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第十三条</w:t>
      </w:r>
      <w:r>
        <w:rPr>
          <w:rFonts w:hint="eastAsia" w:ascii="黑体" w:hAnsi="黑体" w:eastAsia="黑体" w:cs="黑体"/>
          <w:color w:val="auto"/>
          <w:sz w:val="22"/>
          <w:szCs w:val="22"/>
        </w:rPr>
        <w:t xml:space="preserve"> 提供监理人员在现场的工作和生活条件，具体内容在专用合同条款中明确。如果不能提供上述条件的，应按实际发生费用给予监理人补偿。</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第十四条</w:t>
      </w:r>
      <w:r>
        <w:rPr>
          <w:rFonts w:hint="eastAsia" w:ascii="黑体" w:hAnsi="黑体" w:eastAsia="黑体" w:cs="黑体"/>
          <w:color w:val="auto"/>
          <w:sz w:val="22"/>
          <w:szCs w:val="22"/>
        </w:rPr>
        <w:t xml:space="preserve"> 按本合同约定及时、足额支付监理服务酬金。</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第十五条 </w:t>
      </w:r>
      <w:r>
        <w:rPr>
          <w:rFonts w:hint="eastAsia" w:ascii="黑体" w:hAnsi="黑体" w:eastAsia="黑体" w:cs="黑体"/>
          <w:color w:val="auto"/>
          <w:sz w:val="22"/>
          <w:szCs w:val="22"/>
        </w:rPr>
        <w:t>为监理机构指定具有检验、试验资质的机构并承担检验、试验相关费用。</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第十六条 </w:t>
      </w:r>
      <w:r>
        <w:rPr>
          <w:rFonts w:hint="eastAsia" w:ascii="黑体" w:hAnsi="黑体" w:eastAsia="黑体" w:cs="黑体"/>
          <w:color w:val="auto"/>
          <w:sz w:val="22"/>
          <w:szCs w:val="22"/>
        </w:rPr>
        <w:t>维护监理机构工作的独立性，不干涉监理机构正常开展监理业务，不擅自作出有悖于监理机构在合同授权范围内所作出的指示的决定；未经监理机构签字确认，不得支付工程款。</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第十七条</w:t>
      </w:r>
      <w:r>
        <w:rPr>
          <w:rFonts w:hint="eastAsia" w:ascii="黑体" w:hAnsi="黑体" w:eastAsia="黑体" w:cs="黑体"/>
          <w:color w:val="auto"/>
          <w:sz w:val="22"/>
          <w:szCs w:val="22"/>
        </w:rPr>
        <w:t xml:space="preserve"> 为监理人员投保人身意外伤害险和第三者责任险。如要求监理人自己投保，则应同意监理人将投保的费用计入报价中。</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第十八条</w:t>
      </w:r>
      <w:r>
        <w:rPr>
          <w:rFonts w:hint="eastAsia" w:ascii="黑体" w:hAnsi="黑体" w:eastAsia="黑体" w:cs="黑体"/>
          <w:color w:val="auto"/>
          <w:sz w:val="22"/>
          <w:szCs w:val="22"/>
        </w:rPr>
        <w:t xml:space="preserve"> 将投保工程险的保险合同提供给监理人作为工程合同管理的一部分。</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第十九条</w:t>
      </w:r>
      <w:r>
        <w:rPr>
          <w:rFonts w:hint="eastAsia" w:ascii="黑体" w:hAnsi="黑体" w:eastAsia="黑体" w:cs="黑体"/>
          <w:color w:val="auto"/>
          <w:sz w:val="22"/>
          <w:szCs w:val="22"/>
        </w:rPr>
        <w:t xml:space="preserve"> 未经监理人同意，不得将监理人用于本工程监理服务的任何文件直接或间接用于其他工程建设之中。</w:t>
      </w:r>
      <w:r>
        <w:rPr>
          <w:rFonts w:hint="eastAsia" w:ascii="黑体" w:hAnsi="黑体" w:eastAsia="黑体" w:cs="黑体"/>
          <w:b/>
          <w:color w:val="auto"/>
          <w:sz w:val="22"/>
          <w:szCs w:val="22"/>
        </w:rPr>
        <w:t xml:space="preserve"> </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59" w:name="_Toc511313803"/>
      <w:r>
        <w:rPr>
          <w:rFonts w:hint="eastAsia" w:ascii="黑体" w:hAnsi="黑体" w:eastAsia="黑体" w:cs="黑体"/>
          <w:bCs/>
          <w:color w:val="auto"/>
          <w:sz w:val="22"/>
          <w:szCs w:val="22"/>
        </w:rPr>
        <w:t>监理人的义务</w:t>
      </w:r>
      <w:bookmarkEnd w:id="59"/>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第二十条</w:t>
      </w:r>
      <w:r>
        <w:rPr>
          <w:rFonts w:hint="eastAsia" w:ascii="黑体" w:hAnsi="黑体" w:eastAsia="黑体" w:cs="黑体"/>
          <w:color w:val="auto"/>
          <w:sz w:val="22"/>
          <w:szCs w:val="22"/>
        </w:rPr>
        <w:t xml:space="preserve"> 本着“守法、诚信、公正、科学”的原则，按专用合同条款约定的监理服务内容为委托人提供优质服务。  </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第二十一条</w:t>
      </w:r>
      <w:r>
        <w:rPr>
          <w:rFonts w:hint="eastAsia" w:ascii="黑体" w:hAnsi="黑体" w:eastAsia="黑体" w:cs="黑体"/>
          <w:color w:val="auto"/>
          <w:sz w:val="22"/>
          <w:szCs w:val="22"/>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第二十二条 </w:t>
      </w:r>
      <w:r>
        <w:rPr>
          <w:rFonts w:hint="eastAsia" w:ascii="黑体" w:hAnsi="黑体" w:eastAsia="黑体" w:cs="黑体"/>
          <w:color w:val="auto"/>
          <w:sz w:val="22"/>
          <w:szCs w:val="22"/>
        </w:rPr>
        <w:t>发现设计文件不符合有关规定或合同约定时，应向委托人报告。</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第二十三条 </w:t>
      </w:r>
      <w:r>
        <w:rPr>
          <w:rFonts w:hint="eastAsia" w:ascii="黑体" w:hAnsi="黑体" w:eastAsia="黑体" w:cs="黑体"/>
          <w:color w:val="auto"/>
          <w:sz w:val="22"/>
          <w:szCs w:val="22"/>
        </w:rPr>
        <w:t>核验建筑材料、建筑构配件和设备质量，检查、检验并确认工程的施工质量；检查施工安全生产情况。发现存在质量、安全事故隐患，或发生质量、安全事故，应按有关规定及时采取相应的监理措施。</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bCs/>
          <w:color w:val="auto"/>
          <w:sz w:val="22"/>
          <w:szCs w:val="22"/>
        </w:rPr>
        <w:t>第二十</w:t>
      </w:r>
      <w:r>
        <w:rPr>
          <w:rFonts w:hint="eastAsia" w:ascii="黑体" w:hAnsi="黑体" w:eastAsia="黑体" w:cs="黑体"/>
          <w:b/>
          <w:color w:val="auto"/>
          <w:sz w:val="22"/>
          <w:szCs w:val="22"/>
        </w:rPr>
        <w:t>四</w:t>
      </w:r>
      <w:r>
        <w:rPr>
          <w:rFonts w:hint="eastAsia" w:ascii="黑体" w:hAnsi="黑体" w:eastAsia="黑体" w:cs="黑体"/>
          <w:b/>
          <w:bCs/>
          <w:color w:val="auto"/>
          <w:sz w:val="22"/>
          <w:szCs w:val="22"/>
        </w:rPr>
        <w:t>条</w:t>
      </w:r>
      <w:r>
        <w:rPr>
          <w:rFonts w:hint="eastAsia" w:ascii="黑体" w:hAnsi="黑体" w:eastAsia="黑体" w:cs="黑体"/>
          <w:color w:val="auto"/>
          <w:sz w:val="22"/>
          <w:szCs w:val="22"/>
        </w:rPr>
        <w:t xml:space="preserve"> 监督、检查工程施工进度。</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w:t>
      </w:r>
      <w:r>
        <w:rPr>
          <w:rFonts w:hint="eastAsia" w:ascii="黑体" w:hAnsi="黑体" w:eastAsia="黑体" w:cs="黑体"/>
          <w:b/>
          <w:bCs/>
          <w:color w:val="auto"/>
          <w:sz w:val="22"/>
          <w:szCs w:val="22"/>
        </w:rPr>
        <w:t>五</w:t>
      </w:r>
      <w:r>
        <w:rPr>
          <w:rFonts w:hint="eastAsia" w:ascii="黑体" w:hAnsi="黑体" w:eastAsia="黑体" w:cs="黑体"/>
          <w:b/>
          <w:color w:val="auto"/>
          <w:sz w:val="22"/>
          <w:szCs w:val="22"/>
        </w:rPr>
        <w:t>条</w:t>
      </w:r>
      <w:r>
        <w:rPr>
          <w:rFonts w:hint="eastAsia" w:ascii="黑体" w:hAnsi="黑体" w:eastAsia="黑体" w:cs="黑体"/>
          <w:color w:val="auto"/>
          <w:sz w:val="22"/>
          <w:szCs w:val="22"/>
        </w:rPr>
        <w:t xml:space="preserve"> 按照委托人签订的工程保险合同，做好施工现场工程保险合同的管理。协助委托人向保险公司及时提供一切必要的材料和证据。</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第二十六条</w:t>
      </w:r>
      <w:r>
        <w:rPr>
          <w:rFonts w:hint="eastAsia" w:ascii="黑体" w:hAnsi="黑体" w:eastAsia="黑体" w:cs="黑体"/>
          <w:color w:val="auto"/>
          <w:sz w:val="22"/>
          <w:szCs w:val="22"/>
        </w:rPr>
        <w:t xml:space="preserve"> 协调施工合同各方之间的关系。</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第二十七条</w:t>
      </w:r>
      <w:r>
        <w:rPr>
          <w:rFonts w:hint="eastAsia" w:ascii="黑体" w:hAnsi="黑体" w:eastAsia="黑体" w:cs="黑体"/>
          <w:color w:val="auto"/>
          <w:sz w:val="22"/>
          <w:szCs w:val="22"/>
        </w:rPr>
        <w:t xml:space="preserve"> 按照施工作业程序，采取旁站、巡视、跟踪检测和平行检测等方法实施监理。需要旁站的重要部位和关键工序在专用合同条款中约定。</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第二十八条 </w:t>
      </w:r>
      <w:r>
        <w:rPr>
          <w:rFonts w:hint="eastAsia" w:ascii="黑体" w:hAnsi="黑体" w:eastAsia="黑体" w:cs="黑体"/>
          <w:color w:val="auto"/>
          <w:sz w:val="22"/>
          <w:szCs w:val="22"/>
        </w:rPr>
        <w:t>及时做好工程施工过程各种监理信息的收集、整理和归档，并保证现场记录、试验、检验、检查等资料的完整和真实。</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第二十九条 </w:t>
      </w:r>
      <w:r>
        <w:rPr>
          <w:rFonts w:hint="eastAsia" w:ascii="黑体" w:hAnsi="黑体" w:eastAsia="黑体" w:cs="黑体"/>
          <w:color w:val="auto"/>
          <w:sz w:val="22"/>
          <w:szCs w:val="22"/>
        </w:rPr>
        <w:t>编制《监理日志》，并向委托人提交监理月报、监理专题报告、监理工作报告和监理工作总结报告。</w:t>
      </w:r>
    </w:p>
    <w:p>
      <w:pPr>
        <w:tabs>
          <w:tab w:val="left" w:pos="-180"/>
        </w:tabs>
        <w:spacing w:line="480" w:lineRule="auto"/>
        <w:ind w:firstLine="442" w:firstLineChars="200"/>
        <w:rPr>
          <w:rFonts w:hint="eastAsia" w:ascii="黑体" w:hAnsi="黑体" w:eastAsia="黑体" w:cs="黑体"/>
          <w:bCs/>
          <w:color w:val="auto"/>
          <w:sz w:val="22"/>
          <w:szCs w:val="22"/>
        </w:rPr>
      </w:pPr>
      <w:r>
        <w:rPr>
          <w:rFonts w:hint="eastAsia" w:ascii="黑体" w:hAnsi="黑体" w:eastAsia="黑体" w:cs="黑体"/>
          <w:b/>
          <w:color w:val="auto"/>
          <w:sz w:val="22"/>
          <w:szCs w:val="22"/>
        </w:rPr>
        <w:t xml:space="preserve">第三十条 </w:t>
      </w:r>
      <w:r>
        <w:rPr>
          <w:rFonts w:hint="eastAsia" w:ascii="黑体" w:hAnsi="黑体" w:eastAsia="黑体" w:cs="黑体"/>
          <w:color w:val="auto"/>
          <w:sz w:val="22"/>
          <w:szCs w:val="22"/>
        </w:rPr>
        <w:t>按有关规定参加工程验收，做好相关配合工作。</w:t>
      </w:r>
      <w:r>
        <w:rPr>
          <w:rFonts w:hint="eastAsia" w:ascii="黑体" w:hAnsi="黑体" w:eastAsia="黑体" w:cs="黑体"/>
          <w:bCs/>
          <w:color w:val="auto"/>
          <w:sz w:val="22"/>
          <w:szCs w:val="22"/>
        </w:rPr>
        <w:t>委托人委托监理人主持的分部工程验收由专用合同条款约定。</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第三十一条</w:t>
      </w:r>
      <w:r>
        <w:rPr>
          <w:rFonts w:hint="eastAsia" w:ascii="黑体" w:hAnsi="黑体" w:eastAsia="黑体" w:cs="黑体"/>
          <w:color w:val="auto"/>
          <w:sz w:val="22"/>
          <w:szCs w:val="22"/>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60" w:name="_Toc511313804"/>
      <w:r>
        <w:rPr>
          <w:rFonts w:hint="eastAsia" w:ascii="黑体" w:hAnsi="黑体" w:eastAsia="黑体" w:cs="黑体"/>
          <w:bCs/>
          <w:color w:val="auto"/>
          <w:sz w:val="22"/>
          <w:szCs w:val="22"/>
        </w:rPr>
        <w:t>监理服务酬金</w:t>
      </w:r>
      <w:bookmarkEnd w:id="60"/>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第三十二条</w:t>
      </w:r>
      <w:r>
        <w:rPr>
          <w:rFonts w:hint="eastAsia" w:ascii="黑体" w:hAnsi="黑体" w:eastAsia="黑体" w:cs="黑体"/>
          <w:color w:val="auto"/>
          <w:sz w:val="22"/>
          <w:szCs w:val="22"/>
        </w:rPr>
        <w:t xml:space="preserve"> 监理正常服务酬金的支付时间和支付方式在专用合同条款中约定。</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第三十三条</w:t>
      </w:r>
      <w:r>
        <w:rPr>
          <w:rFonts w:hint="eastAsia" w:ascii="黑体" w:hAnsi="黑体" w:eastAsia="黑体" w:cs="黑体"/>
          <w:color w:val="auto"/>
          <w:sz w:val="22"/>
          <w:szCs w:val="22"/>
        </w:rPr>
        <w:t xml:space="preserve"> 除</w:t>
      </w:r>
      <w:r>
        <w:rPr>
          <w:rFonts w:hint="eastAsia" w:ascii="黑体" w:hAnsi="黑体" w:eastAsia="黑体" w:cs="黑体"/>
          <w:bCs/>
          <w:color w:val="auto"/>
          <w:sz w:val="22"/>
          <w:szCs w:val="22"/>
        </w:rPr>
        <w:t>不可抗力外，</w:t>
      </w:r>
      <w:r>
        <w:rPr>
          <w:rFonts w:hint="eastAsia" w:ascii="黑体" w:hAnsi="黑体" w:eastAsia="黑体" w:cs="黑体"/>
          <w:color w:val="auto"/>
          <w:sz w:val="22"/>
          <w:szCs w:val="22"/>
        </w:rPr>
        <w:t>有下列情形之一且由此引起监理工作量增加或服务期限延长，均应视为监理机构的附加服务，监理人应得到监理附加服务酬金：</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一、由于委托人、第三方责任、设计变更及不良地质条件等非监理人原因致使正常的监理服务受到阻碍或延误；</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二、在本合同履行过程中，委托人要求监理机构完成监理合同约定范围和内容以外的服务；</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三、由于非监理人原因暂停或终止监理业务时，其善后工作或恢复执行监理业务的工作。</w:t>
      </w:r>
    </w:p>
    <w:p>
      <w:pPr>
        <w:tabs>
          <w:tab w:val="left" w:pos="-180"/>
        </w:tabs>
        <w:spacing w:line="48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监理人完成附加服务应得到的酬金，按专用合同条款约定的方法或监理补充协议计取和支付。</w:t>
      </w:r>
    </w:p>
    <w:p>
      <w:pPr>
        <w:tabs>
          <w:tab w:val="left" w:pos="-180"/>
        </w:tabs>
        <w:spacing w:line="480" w:lineRule="auto"/>
        <w:ind w:firstLine="442" w:firstLineChars="200"/>
        <w:rPr>
          <w:rFonts w:hint="eastAsia" w:ascii="黑体" w:hAnsi="黑体" w:eastAsia="黑体" w:cs="黑体"/>
          <w:b/>
          <w:color w:val="auto"/>
          <w:sz w:val="22"/>
          <w:szCs w:val="22"/>
        </w:rPr>
      </w:pPr>
      <w:r>
        <w:rPr>
          <w:rFonts w:hint="eastAsia" w:ascii="黑体" w:hAnsi="黑体" w:eastAsia="黑体" w:cs="黑体"/>
          <w:b/>
          <w:color w:val="auto"/>
          <w:sz w:val="22"/>
          <w:szCs w:val="22"/>
        </w:rPr>
        <w:t xml:space="preserve">第三十四条 </w:t>
      </w:r>
      <w:r>
        <w:rPr>
          <w:rFonts w:hint="eastAsia" w:ascii="黑体" w:hAnsi="黑体" w:eastAsia="黑体" w:cs="黑体"/>
          <w:color w:val="auto"/>
          <w:sz w:val="22"/>
          <w:szCs w:val="22"/>
        </w:rPr>
        <w:t>国家有关法律、法规、规章和监理酬金标准发生变化时，应按有关规定调整监理服务酬金。</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第三十五条</w:t>
      </w:r>
      <w:r>
        <w:rPr>
          <w:rFonts w:hint="eastAsia" w:ascii="黑体" w:hAnsi="黑体" w:eastAsia="黑体" w:cs="黑体"/>
          <w:color w:val="auto"/>
          <w:sz w:val="22"/>
          <w:szCs w:val="22"/>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61" w:name="_Toc511313805"/>
      <w:r>
        <w:rPr>
          <w:rFonts w:hint="eastAsia" w:ascii="黑体" w:hAnsi="黑体" w:eastAsia="黑体" w:cs="黑体"/>
          <w:bCs/>
          <w:color w:val="auto"/>
          <w:sz w:val="22"/>
          <w:szCs w:val="22"/>
        </w:rPr>
        <w:t>合同变更与终止</w:t>
      </w:r>
      <w:bookmarkEnd w:id="61"/>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第三十六条 </w:t>
      </w:r>
      <w:r>
        <w:rPr>
          <w:rFonts w:hint="eastAsia" w:ascii="黑体" w:hAnsi="黑体" w:eastAsia="黑体" w:cs="黑体"/>
          <w:color w:val="auto"/>
          <w:sz w:val="22"/>
          <w:szCs w:val="22"/>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tabs>
          <w:tab w:val="left" w:pos="-180"/>
        </w:tabs>
        <w:spacing w:line="480" w:lineRule="auto"/>
        <w:ind w:firstLine="442" w:firstLineChars="200"/>
        <w:rPr>
          <w:rFonts w:hint="eastAsia" w:ascii="黑体" w:hAnsi="黑体" w:eastAsia="黑体" w:cs="黑体"/>
          <w:color w:val="auto"/>
          <w:sz w:val="22"/>
          <w:szCs w:val="22"/>
          <w:u w:val="single"/>
        </w:rPr>
      </w:pPr>
      <w:r>
        <w:rPr>
          <w:rFonts w:hint="eastAsia" w:ascii="黑体" w:hAnsi="黑体" w:eastAsia="黑体" w:cs="黑体"/>
          <w:b/>
          <w:color w:val="auto"/>
          <w:sz w:val="22"/>
          <w:szCs w:val="22"/>
        </w:rPr>
        <w:t>第三十七条</w:t>
      </w:r>
      <w:r>
        <w:rPr>
          <w:rFonts w:hint="eastAsia" w:ascii="黑体" w:hAnsi="黑体" w:eastAsia="黑体" w:cs="黑体"/>
          <w:color w:val="auto"/>
          <w:sz w:val="22"/>
          <w:szCs w:val="22"/>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第三十八条</w:t>
      </w:r>
      <w:r>
        <w:rPr>
          <w:rFonts w:hint="eastAsia" w:ascii="黑体" w:hAnsi="黑体" w:eastAsia="黑体" w:cs="黑体"/>
          <w:color w:val="auto"/>
          <w:sz w:val="22"/>
          <w:szCs w:val="22"/>
        </w:rPr>
        <w:t xml:space="preserve"> 在监理服务期内，由于国家政策致使工程建设计划重大调整，或不可抗力致使合同不能履行时，双方协商解决因合同终止所产生的遗留问题。</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第三十九条</w:t>
      </w:r>
      <w:r>
        <w:rPr>
          <w:rFonts w:hint="eastAsia" w:ascii="黑体" w:hAnsi="黑体" w:eastAsia="黑体" w:cs="黑体"/>
          <w:color w:val="auto"/>
          <w:sz w:val="22"/>
          <w:szCs w:val="22"/>
        </w:rPr>
        <w:t xml:space="preserve"> 本合同在监理期限届满并结清监理服务酬金后即终止。</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62" w:name="_Toc511313806"/>
      <w:r>
        <w:rPr>
          <w:rFonts w:hint="eastAsia" w:ascii="黑体" w:hAnsi="黑体" w:eastAsia="黑体" w:cs="黑体"/>
          <w:bCs/>
          <w:color w:val="auto"/>
          <w:sz w:val="22"/>
          <w:szCs w:val="22"/>
        </w:rPr>
        <w:t>违约责任</w:t>
      </w:r>
      <w:bookmarkEnd w:id="62"/>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第四十条</w:t>
      </w:r>
      <w:r>
        <w:rPr>
          <w:rFonts w:hint="eastAsia" w:ascii="黑体" w:hAnsi="黑体" w:eastAsia="黑体" w:cs="黑体"/>
          <w:color w:val="auto"/>
          <w:sz w:val="22"/>
          <w:szCs w:val="22"/>
        </w:rPr>
        <w:t xml:space="preserve"> 委托人未履行合同条款第十条、第十一条、第十三条、第十四条、第十五条、第十六条、第十七条、第十九条约定的义务和责任，除按专用合同条款约定向监理人支付违约金外，还应继续履行合同约定的义务和责任。</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第四十一条</w:t>
      </w:r>
      <w:r>
        <w:rPr>
          <w:rFonts w:hint="eastAsia" w:ascii="黑体" w:hAnsi="黑体" w:eastAsia="黑体" w:cs="黑体"/>
          <w:color w:val="auto"/>
          <w:sz w:val="22"/>
          <w:szCs w:val="22"/>
        </w:rPr>
        <w:t xml:space="preserve"> 委托人未按合同条款第三十二条、第三十三条、第三十四条约定支付监理服务酬金，除按专用合同条款约定向监理人支付逾期付款违约金外，还应继续履行合同约定的支付义务。</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第四十二条</w:t>
      </w:r>
      <w:r>
        <w:rPr>
          <w:rFonts w:hint="eastAsia" w:ascii="黑体" w:hAnsi="黑体" w:eastAsia="黑体" w:cs="黑体"/>
          <w:color w:val="auto"/>
          <w:sz w:val="22"/>
          <w:szCs w:val="22"/>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63" w:name="_Toc511313807"/>
      <w:r>
        <w:rPr>
          <w:rFonts w:hint="eastAsia" w:ascii="黑体" w:hAnsi="黑体" w:eastAsia="黑体" w:cs="黑体"/>
          <w:bCs/>
          <w:color w:val="auto"/>
          <w:sz w:val="22"/>
          <w:szCs w:val="22"/>
        </w:rPr>
        <w:t>争议的解决</w:t>
      </w:r>
      <w:bookmarkEnd w:id="63"/>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第四十三条</w:t>
      </w:r>
      <w:r>
        <w:rPr>
          <w:rFonts w:hint="eastAsia" w:ascii="黑体" w:hAnsi="黑体" w:eastAsia="黑体" w:cs="黑体"/>
          <w:color w:val="auto"/>
          <w:sz w:val="22"/>
          <w:szCs w:val="22"/>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tabs>
          <w:tab w:val="left" w:pos="-180"/>
        </w:tabs>
        <w:spacing w:line="48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第四十四条</w:t>
      </w:r>
      <w:r>
        <w:rPr>
          <w:rFonts w:hint="eastAsia" w:ascii="黑体" w:hAnsi="黑体" w:eastAsia="黑体" w:cs="黑体"/>
          <w:color w:val="auto"/>
          <w:sz w:val="22"/>
          <w:szCs w:val="22"/>
        </w:rPr>
        <w:t xml:space="preserve"> 在争议协商、调解、仲裁或起诉过程中，双方仍应继续履行本合同约定的责任和义务。</w:t>
      </w:r>
    </w:p>
    <w:p>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rPr>
      </w:pPr>
      <w:bookmarkStart w:id="64" w:name="_Toc511313808"/>
      <w:r>
        <w:rPr>
          <w:rFonts w:hint="eastAsia" w:ascii="黑体" w:hAnsi="黑体" w:eastAsia="黑体" w:cs="黑体"/>
          <w:bCs/>
          <w:color w:val="auto"/>
          <w:sz w:val="22"/>
          <w:szCs w:val="22"/>
        </w:rPr>
        <w:t>其   他</w:t>
      </w:r>
      <w:bookmarkEnd w:id="64"/>
    </w:p>
    <w:p>
      <w:pPr>
        <w:tabs>
          <w:tab w:val="left" w:pos="-180"/>
        </w:tabs>
        <w:spacing w:before="156" w:beforeLines="50" w:after="156" w:afterLines="50" w:line="480" w:lineRule="auto"/>
        <w:ind w:left="0" w:leftChars="0" w:firstLine="442" w:firstLineChars="200"/>
        <w:jc w:val="left"/>
        <w:outlineLvl w:val="1"/>
        <w:rPr>
          <w:rFonts w:hint="eastAsia" w:ascii="黑体" w:hAnsi="黑体" w:eastAsia="黑体" w:cs="黑体"/>
          <w:color w:val="auto"/>
          <w:sz w:val="22"/>
          <w:szCs w:val="22"/>
        </w:rPr>
      </w:pPr>
      <w:r>
        <w:rPr>
          <w:rFonts w:hint="eastAsia" w:ascii="黑体" w:hAnsi="黑体" w:eastAsia="黑体" w:cs="黑体"/>
          <w:b/>
          <w:bCs/>
          <w:color w:val="auto"/>
          <w:sz w:val="22"/>
          <w:szCs w:val="22"/>
        </w:rPr>
        <w:t>第四十五条</w:t>
      </w:r>
      <w:r>
        <w:rPr>
          <w:rFonts w:hint="eastAsia" w:ascii="黑体" w:hAnsi="黑体" w:eastAsia="黑体" w:cs="黑体"/>
          <w:color w:val="auto"/>
          <w:sz w:val="22"/>
          <w:szCs w:val="22"/>
        </w:rPr>
        <w:t xml:space="preserve"> 委托人可以对监理人提出并落实的合理化建议给予奖励。奖励办法在专用合同条款中约定。</w:t>
      </w:r>
    </w:p>
    <w:p>
      <w:pPr>
        <w:spacing w:line="360" w:lineRule="auto"/>
        <w:jc w:val="center"/>
        <w:outlineLvl w:val="0"/>
        <w:rPr>
          <w:rFonts w:hint="eastAsia" w:ascii="黑体" w:hAnsi="黑体" w:eastAsia="黑体" w:cs="黑体"/>
          <w:bCs/>
          <w:color w:val="auto"/>
          <w:sz w:val="22"/>
          <w:szCs w:val="22"/>
        </w:rPr>
        <w:sectPr>
          <w:headerReference r:id="rId13" w:type="default"/>
          <w:footerReference r:id="rId14"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bookmarkStart w:id="65" w:name="_Toc511313809"/>
    </w:p>
    <w:p>
      <w:pPr>
        <w:spacing w:line="360" w:lineRule="auto"/>
        <w:jc w:val="center"/>
        <w:outlineLvl w:val="0"/>
        <w:rPr>
          <w:rFonts w:hint="eastAsia" w:ascii="黑体" w:hAnsi="黑体" w:eastAsia="黑体" w:cs="黑体"/>
          <w:b/>
          <w:bCs/>
          <w:color w:val="auto"/>
          <w:kern w:val="0"/>
          <w:sz w:val="22"/>
          <w:szCs w:val="22"/>
        </w:rPr>
      </w:pPr>
      <w:r>
        <w:rPr>
          <w:rFonts w:hint="eastAsia" w:ascii="黑体" w:hAnsi="黑体" w:eastAsia="黑体" w:cs="黑体"/>
          <w:bCs/>
          <w:color w:val="auto"/>
          <w:sz w:val="22"/>
          <w:szCs w:val="22"/>
        </w:rPr>
        <w:t>第二部分 专用合同条款</w:t>
      </w:r>
      <w:bookmarkEnd w:id="65"/>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66" w:name="_Toc511313810"/>
      <w:r>
        <w:rPr>
          <w:rFonts w:hint="eastAsia" w:ascii="黑体" w:hAnsi="黑体" w:eastAsia="黑体" w:cs="黑体"/>
          <w:bCs/>
          <w:color w:val="auto"/>
          <w:sz w:val="22"/>
          <w:szCs w:val="22"/>
        </w:rPr>
        <w:t>监理依据</w:t>
      </w:r>
      <w:bookmarkEnd w:id="66"/>
    </w:p>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第三条</w:t>
      </w:r>
      <w:r>
        <w:rPr>
          <w:rFonts w:hint="eastAsia" w:ascii="黑体" w:hAnsi="黑体" w:eastAsia="黑体" w:cs="黑体"/>
          <w:color w:val="auto"/>
          <w:sz w:val="22"/>
          <w:szCs w:val="22"/>
        </w:rPr>
        <w:t xml:space="preserve"> 本合同的监理依据为：</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《水利工程建设项目施工监理规范》；</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水利部《水利工程建设监理规定》；</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水利部《水利工程建设监理单位管理办法》；</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水利部《水利工程建设监理人员管理办法》；</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本工程监理合同；</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工程初步设计报告及其批复文件；</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工程设计文件(包括图纸和设计说明)；</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工程地质钻探资料；</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工程施工承包合同；</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经发包人批准的监理规划；</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监理各项工作实施细则；</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广东省水利厅《监理导则》；</w:t>
      </w:r>
    </w:p>
    <w:p>
      <w:pPr>
        <w:widowControl w:val="0"/>
        <w:numPr>
          <w:ilvl w:val="0"/>
          <w:numId w:val="38"/>
        </w:numPr>
        <w:spacing w:after="0" w:line="360" w:lineRule="auto"/>
        <w:jc w:val="both"/>
        <w:rPr>
          <w:rFonts w:hint="eastAsia" w:ascii="黑体" w:hAnsi="黑体" w:eastAsia="黑体" w:cs="黑体"/>
          <w:color w:val="auto"/>
          <w:sz w:val="22"/>
          <w:szCs w:val="22"/>
        </w:rPr>
      </w:pPr>
      <w:r>
        <w:rPr>
          <w:rFonts w:hint="eastAsia" w:ascii="黑体" w:hAnsi="黑体" w:eastAsia="黑体" w:cs="黑体"/>
          <w:color w:val="auto"/>
          <w:sz w:val="22"/>
          <w:szCs w:val="22"/>
        </w:rPr>
        <w:t>其他适用于本合同的法律、法规和规章、有关文件。</w:t>
      </w: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67" w:name="_Toc511313811"/>
      <w:r>
        <w:rPr>
          <w:rFonts w:hint="eastAsia" w:ascii="黑体" w:hAnsi="黑体" w:eastAsia="黑体" w:cs="黑体"/>
          <w:bCs/>
          <w:color w:val="auto"/>
          <w:sz w:val="22"/>
          <w:szCs w:val="22"/>
        </w:rPr>
        <w:t>委托人的权利</w:t>
      </w:r>
      <w:bookmarkEnd w:id="67"/>
    </w:p>
    <w:p>
      <w:pPr>
        <w:spacing w:line="360" w:lineRule="auto"/>
        <w:ind w:firstLine="442" w:firstLineChars="200"/>
        <w:rPr>
          <w:rFonts w:hint="eastAsia" w:ascii="黑体" w:hAnsi="黑体" w:eastAsia="黑体" w:cs="黑体"/>
          <w:b/>
          <w:color w:val="auto"/>
          <w:sz w:val="22"/>
          <w:szCs w:val="22"/>
        </w:rPr>
      </w:pPr>
      <w:r>
        <w:rPr>
          <w:rFonts w:hint="eastAsia" w:ascii="黑体" w:hAnsi="黑体" w:eastAsia="黑体" w:cs="黑体"/>
          <w:b/>
          <w:color w:val="auto"/>
          <w:sz w:val="22"/>
          <w:szCs w:val="22"/>
        </w:rPr>
        <w:t>第七条</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五、当监理人发生下列违约情形时，委托人有权解除合同：</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1、监理人将本项目转包或分包；</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2、监理人不按经委托人批准的监理规划及监理实施细则实施监理工作 ；</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3、监理人在监理过程中出现重大失误，导致施工工期延长，给招标人造成损失；</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4、监理人在计量或变更设计工作中弄虚作假；</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5、监理人凭借本身的影响，违规向施工单位介绍分包队伍、推销原材料；</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6、配备监理人员没有达到合同书强制性标注要求的；</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7、总监理工程师、监理工程师和监理员没有按要求常驻施工现场；</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8、累计三次总监不主持工地例会；</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9、监理人在工作中发生超越合同规定权限审批的行为；</w:t>
      </w:r>
    </w:p>
    <w:p>
      <w:pPr>
        <w:spacing w:line="360" w:lineRule="auto"/>
        <w:ind w:firstLine="431" w:firstLineChars="196"/>
        <w:rPr>
          <w:rFonts w:hint="eastAsia" w:ascii="黑体" w:hAnsi="黑体" w:eastAsia="黑体" w:cs="黑体"/>
          <w:bCs/>
          <w:color w:val="auto"/>
          <w:sz w:val="22"/>
          <w:szCs w:val="22"/>
        </w:rPr>
      </w:pPr>
      <w:r>
        <w:rPr>
          <w:rFonts w:hint="eastAsia" w:ascii="黑体" w:hAnsi="黑体" w:eastAsia="黑体" w:cs="黑体"/>
          <w:bCs/>
          <w:color w:val="auto"/>
          <w:sz w:val="22"/>
          <w:szCs w:val="22"/>
        </w:rPr>
        <w:t>10、监理人派驻本工程的监理机构不胜任本项目的监理工作，经过调换依然不胜任的。</w:t>
      </w:r>
    </w:p>
    <w:p>
      <w:pPr>
        <w:spacing w:line="360" w:lineRule="auto"/>
        <w:ind w:firstLine="433" w:firstLineChars="196"/>
        <w:rPr>
          <w:rFonts w:hint="eastAsia" w:ascii="黑体" w:hAnsi="黑体" w:eastAsia="黑体" w:cs="黑体"/>
          <w:b/>
          <w:color w:val="auto"/>
          <w:kern w:val="0"/>
          <w:sz w:val="22"/>
          <w:szCs w:val="22"/>
        </w:rPr>
      </w:pPr>
      <w:r>
        <w:rPr>
          <w:rFonts w:hint="eastAsia" w:ascii="黑体" w:hAnsi="黑体" w:eastAsia="黑体" w:cs="黑体"/>
          <w:b/>
          <w:color w:val="auto"/>
          <w:kern w:val="0"/>
          <w:sz w:val="22"/>
          <w:szCs w:val="22"/>
        </w:rPr>
        <w:t>增加：</w:t>
      </w:r>
    </w:p>
    <w:p>
      <w:pPr>
        <w:spacing w:line="360" w:lineRule="auto"/>
        <w:ind w:firstLine="440" w:firstLineChars="200"/>
        <w:rPr>
          <w:rFonts w:hint="eastAsia" w:ascii="黑体" w:hAnsi="黑体" w:eastAsia="黑体" w:cs="黑体"/>
          <w:bCs/>
          <w:color w:val="auto"/>
          <w:sz w:val="22"/>
          <w:szCs w:val="22"/>
        </w:rPr>
      </w:pPr>
      <w:r>
        <w:rPr>
          <w:rFonts w:hint="eastAsia" w:ascii="黑体" w:hAnsi="黑体" w:eastAsia="黑体" w:cs="黑体"/>
          <w:bCs/>
          <w:color w:val="auto"/>
          <w:sz w:val="22"/>
          <w:szCs w:val="22"/>
        </w:rPr>
        <w:t>六、有对工程设计变更的审批权。不在《工程量清单》中的项目须经发包人书面签认监理人才能进行支付计量。对工程建设中质量、进度、投资方面的重大问题的最终决定权。</w:t>
      </w: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68" w:name="_Toc511313812"/>
      <w:r>
        <w:rPr>
          <w:rFonts w:hint="eastAsia" w:ascii="黑体" w:hAnsi="黑体" w:eastAsia="黑体" w:cs="黑体"/>
          <w:bCs/>
          <w:color w:val="auto"/>
          <w:sz w:val="22"/>
          <w:szCs w:val="22"/>
        </w:rPr>
        <w:t>监理人的权利</w:t>
      </w:r>
      <w:bookmarkEnd w:id="68"/>
    </w:p>
    <w:p>
      <w:pPr>
        <w:spacing w:line="360" w:lineRule="auto"/>
        <w:ind w:firstLine="442" w:firstLineChars="200"/>
        <w:rPr>
          <w:rFonts w:hint="eastAsia" w:ascii="黑体" w:hAnsi="黑体" w:eastAsia="黑体" w:cs="黑体"/>
          <w:b/>
          <w:color w:val="auto"/>
          <w:sz w:val="22"/>
          <w:szCs w:val="22"/>
        </w:rPr>
      </w:pPr>
      <w:r>
        <w:rPr>
          <w:rFonts w:hint="eastAsia" w:ascii="黑体" w:hAnsi="黑体" w:eastAsia="黑体" w:cs="黑体"/>
          <w:b/>
          <w:color w:val="auto"/>
          <w:sz w:val="22"/>
          <w:szCs w:val="22"/>
        </w:rPr>
        <w:t>第八条</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八、当委托人发生下列违约情形时，监理人有权解除合同：</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1、因委托人原因造成工程停建或缓建致使合同无法履行；</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2、委托人不按合同约定支付工程款(进度款)，双方又未达成延期付款协议，超过支付期限56天，委托人仍不支付工程款。</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九、委托人赋予监理人的其他权利：</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1、协助委托人签订工程建设合同。</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2、协助组织分部工程验收。</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3、对全部工程的所有部位及其任何一项工艺、材料、构件和工程设备的检查、检验权。但上述的一切检查、检验不免除承包人按有关合同规定应负的责任。</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4、对全部工程的施工质量和工程上使用的材料、设备的检验权和确认权；安全生产和文明施工的监督权。</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5、工程施工进度的检查、监督权以及工程建设合同工期的签认权。</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6、工程款支付的审核和签认权，工程结算的复核确认和否认权。未经监理机构签字确认，委托人不支付任何工程款项。</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7、签发工程移交证书；</w:t>
      </w:r>
    </w:p>
    <w:p>
      <w:pPr>
        <w:autoSpaceDE w:val="0"/>
        <w:autoSpaceDN w:val="0"/>
        <w:adjustRightInd w:val="0"/>
        <w:snapToGrid w:val="0"/>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8、签发保修责任终止证书。</w:t>
      </w: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69" w:name="_Toc511313813"/>
      <w:r>
        <w:rPr>
          <w:rFonts w:hint="eastAsia" w:ascii="黑体" w:hAnsi="黑体" w:eastAsia="黑体" w:cs="黑体"/>
          <w:bCs/>
          <w:color w:val="auto"/>
          <w:sz w:val="22"/>
          <w:szCs w:val="22"/>
        </w:rPr>
        <w:t>委托人的义务</w:t>
      </w:r>
      <w:bookmarkEnd w:id="69"/>
    </w:p>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第十条</w:t>
      </w:r>
      <w:r>
        <w:rPr>
          <w:rFonts w:hint="eastAsia" w:ascii="黑体" w:hAnsi="黑体" w:eastAsia="黑体" w:cs="黑体"/>
          <w:color w:val="auto"/>
          <w:sz w:val="22"/>
          <w:szCs w:val="22"/>
        </w:rPr>
        <w:t xml:space="preserve"> 委托人向监理机构免费提供的资料为：</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904"/>
        <w:gridCol w:w="720"/>
        <w:gridCol w:w="1440"/>
        <w:gridCol w:w="162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序号</w:t>
            </w:r>
          </w:p>
        </w:tc>
        <w:tc>
          <w:tcPr>
            <w:tcW w:w="2904"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资料名称</w:t>
            </w:r>
          </w:p>
        </w:tc>
        <w:tc>
          <w:tcPr>
            <w:tcW w:w="720"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份数</w:t>
            </w:r>
          </w:p>
        </w:tc>
        <w:tc>
          <w:tcPr>
            <w:tcW w:w="1440"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提供时间</w:t>
            </w:r>
          </w:p>
        </w:tc>
        <w:tc>
          <w:tcPr>
            <w:tcW w:w="1620"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收回时间</w:t>
            </w:r>
          </w:p>
        </w:tc>
        <w:tc>
          <w:tcPr>
            <w:tcW w:w="2068" w:type="dxa"/>
            <w:noWrap w:val="0"/>
            <w:vAlign w:val="center"/>
          </w:tcPr>
          <w:p>
            <w:pPr>
              <w:spacing w:after="0" w:line="240" w:lineRule="auto"/>
              <w:jc w:val="center"/>
              <w:rPr>
                <w:rFonts w:hint="eastAsia" w:ascii="黑体" w:hAnsi="黑体" w:eastAsia="黑体" w:cs="黑体"/>
                <w:b/>
                <w:color w:val="auto"/>
                <w:sz w:val="22"/>
                <w:szCs w:val="22"/>
              </w:rPr>
            </w:pPr>
            <w:r>
              <w:rPr>
                <w:rFonts w:hint="eastAsia" w:ascii="黑体" w:hAnsi="黑体" w:eastAsia="黑体" w:cs="黑体"/>
                <w:b/>
                <w:color w:val="auto"/>
                <w:sz w:val="22"/>
                <w:szCs w:val="22"/>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1</w:t>
            </w:r>
          </w:p>
        </w:tc>
        <w:tc>
          <w:tcPr>
            <w:tcW w:w="2904" w:type="dxa"/>
            <w:noWrap w:val="0"/>
            <w:vAlign w:val="center"/>
          </w:tcPr>
          <w:p>
            <w:pPr>
              <w:spacing w:after="0" w:line="240" w:lineRule="auto"/>
              <w:ind w:left="-91"/>
              <w:rPr>
                <w:rFonts w:hint="eastAsia" w:ascii="黑体" w:hAnsi="黑体" w:eastAsia="黑体" w:cs="黑体"/>
                <w:color w:val="auto"/>
                <w:sz w:val="22"/>
                <w:szCs w:val="22"/>
              </w:rPr>
            </w:pPr>
            <w:r>
              <w:rPr>
                <w:rFonts w:hint="eastAsia" w:ascii="黑体" w:hAnsi="黑体" w:eastAsia="黑体" w:cs="黑体"/>
                <w:color w:val="auto"/>
                <w:kern w:val="0"/>
                <w:sz w:val="22"/>
                <w:szCs w:val="22"/>
              </w:rPr>
              <w:t>主管部门批准的项目建设文件及附件</w:t>
            </w:r>
          </w:p>
        </w:tc>
        <w:tc>
          <w:tcPr>
            <w:tcW w:w="7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1</w:t>
            </w:r>
          </w:p>
        </w:tc>
        <w:tc>
          <w:tcPr>
            <w:tcW w:w="144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合同生效后</w:t>
            </w:r>
          </w:p>
        </w:tc>
        <w:tc>
          <w:tcPr>
            <w:tcW w:w="16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合同终止时</w:t>
            </w:r>
          </w:p>
        </w:tc>
        <w:tc>
          <w:tcPr>
            <w:tcW w:w="2068"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2</w:t>
            </w:r>
          </w:p>
        </w:tc>
        <w:tc>
          <w:tcPr>
            <w:tcW w:w="2904" w:type="dxa"/>
            <w:noWrap w:val="0"/>
            <w:vAlign w:val="center"/>
          </w:tcPr>
          <w:p>
            <w:pPr>
              <w:spacing w:after="0" w:line="240" w:lineRule="auto"/>
              <w:ind w:left="-91"/>
              <w:rPr>
                <w:rFonts w:hint="eastAsia" w:ascii="黑体" w:hAnsi="黑体" w:eastAsia="黑体" w:cs="黑体"/>
                <w:color w:val="auto"/>
                <w:sz w:val="22"/>
                <w:szCs w:val="22"/>
              </w:rPr>
            </w:pPr>
            <w:r>
              <w:rPr>
                <w:rFonts w:hint="eastAsia" w:ascii="黑体" w:hAnsi="黑体" w:eastAsia="黑体" w:cs="黑体"/>
                <w:color w:val="auto"/>
                <w:kern w:val="0"/>
                <w:sz w:val="22"/>
                <w:szCs w:val="22"/>
              </w:rPr>
              <w:t>设计文件及图纸</w:t>
            </w:r>
          </w:p>
        </w:tc>
        <w:tc>
          <w:tcPr>
            <w:tcW w:w="7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2</w:t>
            </w:r>
          </w:p>
        </w:tc>
        <w:tc>
          <w:tcPr>
            <w:tcW w:w="144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合同生效后</w:t>
            </w:r>
          </w:p>
        </w:tc>
        <w:tc>
          <w:tcPr>
            <w:tcW w:w="16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合同终止时</w:t>
            </w:r>
          </w:p>
        </w:tc>
        <w:tc>
          <w:tcPr>
            <w:tcW w:w="2068" w:type="dxa"/>
            <w:noWrap w:val="0"/>
            <w:vAlign w:val="center"/>
          </w:tcPr>
          <w:p>
            <w:pPr>
              <w:spacing w:after="0" w:line="240" w:lineRule="auto"/>
              <w:ind w:left="-91" w:right="-112" w:rightChars="-51"/>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不得流入非相</w:t>
            </w:r>
          </w:p>
          <w:p>
            <w:pPr>
              <w:spacing w:after="0" w:line="240" w:lineRule="auto"/>
              <w:ind w:left="-91" w:right="-112" w:rightChars="-5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3</w:t>
            </w:r>
          </w:p>
        </w:tc>
        <w:tc>
          <w:tcPr>
            <w:tcW w:w="2904" w:type="dxa"/>
            <w:noWrap w:val="0"/>
            <w:vAlign w:val="center"/>
          </w:tcPr>
          <w:p>
            <w:pPr>
              <w:spacing w:after="0" w:line="240" w:lineRule="auto"/>
              <w:ind w:left="-91"/>
              <w:rPr>
                <w:rFonts w:hint="eastAsia" w:ascii="黑体" w:hAnsi="黑体" w:eastAsia="黑体" w:cs="黑体"/>
                <w:color w:val="auto"/>
                <w:sz w:val="22"/>
                <w:szCs w:val="22"/>
              </w:rPr>
            </w:pPr>
            <w:r>
              <w:rPr>
                <w:rFonts w:hint="eastAsia" w:ascii="黑体" w:hAnsi="黑体" w:eastAsia="黑体" w:cs="黑体"/>
                <w:color w:val="auto"/>
                <w:kern w:val="0"/>
                <w:sz w:val="22"/>
                <w:szCs w:val="22"/>
              </w:rPr>
              <w:t>有关技术资料</w:t>
            </w:r>
          </w:p>
        </w:tc>
        <w:tc>
          <w:tcPr>
            <w:tcW w:w="7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1</w:t>
            </w:r>
          </w:p>
        </w:tc>
        <w:tc>
          <w:tcPr>
            <w:tcW w:w="144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合同生效后</w:t>
            </w:r>
          </w:p>
        </w:tc>
        <w:tc>
          <w:tcPr>
            <w:tcW w:w="16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合同终止时</w:t>
            </w:r>
          </w:p>
        </w:tc>
        <w:tc>
          <w:tcPr>
            <w:tcW w:w="2068" w:type="dxa"/>
            <w:noWrap w:val="0"/>
            <w:vAlign w:val="center"/>
          </w:tcPr>
          <w:p>
            <w:pPr>
              <w:spacing w:after="0" w:line="240" w:lineRule="auto"/>
              <w:ind w:left="-91" w:right="-112" w:rightChars="-51"/>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不得流入非相</w:t>
            </w:r>
          </w:p>
          <w:p>
            <w:pPr>
              <w:spacing w:after="0" w:line="240" w:lineRule="auto"/>
              <w:ind w:left="-91" w:right="-112" w:rightChars="-5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4</w:t>
            </w:r>
          </w:p>
        </w:tc>
        <w:tc>
          <w:tcPr>
            <w:tcW w:w="2904" w:type="dxa"/>
            <w:noWrap w:val="0"/>
            <w:vAlign w:val="center"/>
          </w:tcPr>
          <w:p>
            <w:pPr>
              <w:spacing w:after="0" w:line="240" w:lineRule="auto"/>
              <w:ind w:left="-91"/>
              <w:rPr>
                <w:rFonts w:hint="eastAsia" w:ascii="黑体" w:hAnsi="黑体" w:eastAsia="黑体" w:cs="黑体"/>
                <w:color w:val="auto"/>
                <w:sz w:val="22"/>
                <w:szCs w:val="22"/>
              </w:rPr>
            </w:pPr>
            <w:r>
              <w:rPr>
                <w:rFonts w:hint="eastAsia" w:ascii="黑体" w:hAnsi="黑体" w:eastAsia="黑体" w:cs="黑体"/>
                <w:color w:val="auto"/>
                <w:kern w:val="0"/>
                <w:sz w:val="22"/>
                <w:szCs w:val="22"/>
              </w:rPr>
              <w:t>与有关承包人签订的合同</w:t>
            </w:r>
          </w:p>
        </w:tc>
        <w:tc>
          <w:tcPr>
            <w:tcW w:w="7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1</w:t>
            </w:r>
          </w:p>
        </w:tc>
        <w:tc>
          <w:tcPr>
            <w:tcW w:w="144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合同生效后</w:t>
            </w:r>
          </w:p>
        </w:tc>
        <w:tc>
          <w:tcPr>
            <w:tcW w:w="16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合同终止时</w:t>
            </w:r>
          </w:p>
        </w:tc>
        <w:tc>
          <w:tcPr>
            <w:tcW w:w="2068"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5</w:t>
            </w:r>
          </w:p>
        </w:tc>
        <w:tc>
          <w:tcPr>
            <w:tcW w:w="2904" w:type="dxa"/>
            <w:noWrap w:val="0"/>
            <w:vAlign w:val="center"/>
          </w:tcPr>
          <w:p>
            <w:pPr>
              <w:spacing w:after="0" w:line="240" w:lineRule="auto"/>
              <w:ind w:left="-91"/>
              <w:rPr>
                <w:rFonts w:hint="eastAsia" w:ascii="黑体" w:hAnsi="黑体" w:eastAsia="黑体" w:cs="黑体"/>
                <w:color w:val="auto"/>
                <w:sz w:val="22"/>
                <w:szCs w:val="22"/>
              </w:rPr>
            </w:pPr>
            <w:r>
              <w:rPr>
                <w:rFonts w:hint="eastAsia" w:ascii="黑体" w:hAnsi="黑体" w:eastAsia="黑体" w:cs="黑体"/>
                <w:color w:val="auto"/>
                <w:kern w:val="0"/>
                <w:sz w:val="22"/>
                <w:szCs w:val="22"/>
              </w:rPr>
              <w:t>其他有关资料</w:t>
            </w:r>
          </w:p>
        </w:tc>
        <w:tc>
          <w:tcPr>
            <w:tcW w:w="7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1</w:t>
            </w:r>
          </w:p>
        </w:tc>
        <w:tc>
          <w:tcPr>
            <w:tcW w:w="144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合同生效后</w:t>
            </w:r>
          </w:p>
        </w:tc>
        <w:tc>
          <w:tcPr>
            <w:tcW w:w="1620" w:type="dxa"/>
            <w:noWrap w:val="0"/>
            <w:vAlign w:val="center"/>
          </w:tcPr>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合同终止时</w:t>
            </w:r>
          </w:p>
        </w:tc>
        <w:tc>
          <w:tcPr>
            <w:tcW w:w="2068" w:type="dxa"/>
            <w:noWrap w:val="0"/>
            <w:vAlign w:val="center"/>
          </w:tcPr>
          <w:p>
            <w:pPr>
              <w:spacing w:after="0" w:line="240" w:lineRule="auto"/>
              <w:ind w:left="-91"/>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不得流入非相</w:t>
            </w:r>
          </w:p>
          <w:p>
            <w:pPr>
              <w:spacing w:after="0" w:line="240" w:lineRule="auto"/>
              <w:ind w:left="-91"/>
              <w:jc w:val="center"/>
              <w:rPr>
                <w:rFonts w:hint="eastAsia" w:ascii="黑体" w:hAnsi="黑体" w:eastAsia="黑体" w:cs="黑体"/>
                <w:color w:val="auto"/>
                <w:sz w:val="22"/>
                <w:szCs w:val="22"/>
              </w:rPr>
            </w:pPr>
            <w:r>
              <w:rPr>
                <w:rFonts w:hint="eastAsia" w:ascii="黑体" w:hAnsi="黑体" w:eastAsia="黑体" w:cs="黑体"/>
                <w:color w:val="auto"/>
                <w:kern w:val="0"/>
                <w:sz w:val="22"/>
                <w:szCs w:val="22"/>
              </w:rPr>
              <w:t>关单位及个人</w:t>
            </w:r>
          </w:p>
        </w:tc>
      </w:tr>
    </w:tbl>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第十一条</w:t>
      </w:r>
      <w:r>
        <w:rPr>
          <w:rFonts w:hint="eastAsia" w:ascii="黑体" w:hAnsi="黑体" w:eastAsia="黑体" w:cs="黑体"/>
          <w:color w:val="auto"/>
          <w:sz w:val="22"/>
          <w:szCs w:val="22"/>
        </w:rPr>
        <w:t xml:space="preserve"> 委托人对监理机构书面提交并要求作出决定的事宜作出书面决定并送达的时限：</w:t>
      </w:r>
    </w:p>
    <w:p>
      <w:pPr>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一般文件</w:t>
      </w:r>
      <w:r>
        <w:rPr>
          <w:rFonts w:hint="eastAsia" w:ascii="黑体" w:hAnsi="黑体" w:eastAsia="黑体" w:cs="黑体"/>
          <w:color w:val="auto"/>
          <w:sz w:val="22"/>
          <w:szCs w:val="22"/>
          <w:u w:val="single"/>
        </w:rPr>
        <w:t xml:space="preserve"> 7 </w:t>
      </w:r>
      <w:r>
        <w:rPr>
          <w:rFonts w:hint="eastAsia" w:ascii="黑体" w:hAnsi="黑体" w:eastAsia="黑体" w:cs="黑体"/>
          <w:color w:val="auto"/>
          <w:sz w:val="22"/>
          <w:szCs w:val="22"/>
        </w:rPr>
        <w:t>天；紧急事项</w:t>
      </w:r>
      <w:r>
        <w:rPr>
          <w:rFonts w:hint="eastAsia" w:ascii="黑体" w:hAnsi="黑体" w:eastAsia="黑体" w:cs="黑体"/>
          <w:color w:val="auto"/>
          <w:sz w:val="22"/>
          <w:szCs w:val="22"/>
          <w:u w:val="single"/>
        </w:rPr>
        <w:t xml:space="preserve"> 3 </w:t>
      </w:r>
      <w:r>
        <w:rPr>
          <w:rFonts w:hint="eastAsia" w:ascii="黑体" w:hAnsi="黑体" w:eastAsia="黑体" w:cs="黑体"/>
          <w:color w:val="auto"/>
          <w:sz w:val="22"/>
          <w:szCs w:val="22"/>
        </w:rPr>
        <w:t>天；变更文件</w:t>
      </w:r>
      <w:r>
        <w:rPr>
          <w:rFonts w:hint="eastAsia" w:ascii="黑体" w:hAnsi="黑体" w:eastAsia="黑体" w:cs="黑体"/>
          <w:color w:val="auto"/>
          <w:sz w:val="22"/>
          <w:szCs w:val="22"/>
          <w:u w:val="single"/>
        </w:rPr>
        <w:t xml:space="preserve"> 14 </w:t>
      </w:r>
      <w:r>
        <w:rPr>
          <w:rFonts w:hint="eastAsia" w:ascii="黑体" w:hAnsi="黑体" w:eastAsia="黑体" w:cs="黑体"/>
          <w:color w:val="auto"/>
          <w:sz w:val="22"/>
          <w:szCs w:val="22"/>
        </w:rPr>
        <w:t>天。</w:t>
      </w:r>
    </w:p>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第十三条</w:t>
      </w:r>
      <w:r>
        <w:rPr>
          <w:rFonts w:hint="eastAsia" w:ascii="黑体" w:hAnsi="黑体" w:eastAsia="黑体" w:cs="黑体"/>
          <w:color w:val="auto"/>
          <w:sz w:val="22"/>
          <w:szCs w:val="22"/>
        </w:rPr>
        <w:t xml:space="preserve"> 委托人无偿向监理机构提供的工作、生活条件为：</w:t>
      </w:r>
    </w:p>
    <w:p>
      <w:pPr>
        <w:tabs>
          <w:tab w:val="left" w:pos="-180"/>
        </w:tabs>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委托人不向监理机构提供任何设施、设备，也不向监理机构支付房屋、设施、设备的使用、维护与运行等费用，监理人在投标时已将有关费用包含在监理服务酬金中。</w:t>
      </w:r>
    </w:p>
    <w:p>
      <w:pPr>
        <w:tabs>
          <w:tab w:val="left" w:pos="-180"/>
        </w:tabs>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委托人不向监理机构提供生活、办公、交通、通讯费用，监理人在投标时已将有关费用包含在监理服务酬金中。</w:t>
      </w:r>
    </w:p>
    <w:p>
      <w:pPr>
        <w:tabs>
          <w:tab w:val="left" w:pos="-180"/>
        </w:tabs>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第十七条</w:t>
      </w:r>
      <w:r>
        <w:rPr>
          <w:rFonts w:hint="eastAsia" w:ascii="黑体" w:hAnsi="黑体" w:eastAsia="黑体" w:cs="黑体"/>
          <w:color w:val="auto"/>
          <w:sz w:val="22"/>
          <w:szCs w:val="22"/>
        </w:rPr>
        <w:t xml:space="preserve"> 委托人不为监理人员投保人身意外伤害险和第三者责任险，由监理人自己投保，</w:t>
      </w:r>
      <w:r>
        <w:rPr>
          <w:rFonts w:hint="eastAsia" w:ascii="黑体" w:hAnsi="黑体" w:eastAsia="黑体" w:cs="黑体"/>
          <w:color w:val="auto"/>
          <w:kern w:val="0"/>
          <w:sz w:val="22"/>
          <w:szCs w:val="22"/>
        </w:rPr>
        <w:t>监理人应将</w:t>
      </w:r>
      <w:r>
        <w:rPr>
          <w:rFonts w:hint="eastAsia" w:ascii="黑体" w:hAnsi="黑体" w:eastAsia="黑体" w:cs="黑体"/>
          <w:color w:val="auto"/>
          <w:sz w:val="22"/>
          <w:szCs w:val="22"/>
        </w:rPr>
        <w:t>投保的费用</w:t>
      </w:r>
      <w:r>
        <w:rPr>
          <w:rFonts w:hint="eastAsia" w:ascii="黑体" w:hAnsi="黑体" w:eastAsia="黑体" w:cs="黑体"/>
          <w:color w:val="auto"/>
          <w:kern w:val="0"/>
          <w:sz w:val="22"/>
          <w:szCs w:val="22"/>
        </w:rPr>
        <w:t>包含在合同监理服务费总金额</w:t>
      </w:r>
      <w:r>
        <w:rPr>
          <w:rFonts w:hint="eastAsia" w:ascii="黑体" w:hAnsi="黑体" w:eastAsia="黑体" w:cs="黑体"/>
          <w:color w:val="auto"/>
          <w:sz w:val="22"/>
          <w:szCs w:val="22"/>
        </w:rPr>
        <w:t>中。</w:t>
      </w:r>
    </w:p>
    <w:p>
      <w:pPr>
        <w:spacing w:line="360" w:lineRule="auto"/>
        <w:ind w:firstLine="435"/>
        <w:rPr>
          <w:rFonts w:hint="eastAsia" w:ascii="黑体" w:hAnsi="黑体" w:eastAsia="黑体" w:cs="黑体"/>
          <w:color w:val="auto"/>
          <w:sz w:val="22"/>
          <w:szCs w:val="22"/>
        </w:rPr>
      </w:pP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70" w:name="_Toc511313814"/>
      <w:r>
        <w:rPr>
          <w:rFonts w:hint="eastAsia" w:ascii="黑体" w:hAnsi="黑体" w:eastAsia="黑体" w:cs="黑体"/>
          <w:bCs/>
          <w:color w:val="auto"/>
          <w:sz w:val="22"/>
          <w:szCs w:val="22"/>
        </w:rPr>
        <w:t>监理人的义务</w:t>
      </w:r>
      <w:bookmarkEnd w:id="70"/>
    </w:p>
    <w:p>
      <w:pPr>
        <w:autoSpaceDE w:val="0"/>
        <w:autoSpaceDN w:val="0"/>
        <w:adjustRightInd w:val="0"/>
        <w:snapToGrid w:val="0"/>
        <w:spacing w:line="360" w:lineRule="auto"/>
        <w:ind w:firstLine="567"/>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第二十条  </w:t>
      </w:r>
      <w:r>
        <w:rPr>
          <w:rFonts w:hint="eastAsia" w:ascii="黑体" w:hAnsi="黑体" w:eastAsia="黑体" w:cs="黑体"/>
          <w:bCs/>
          <w:color w:val="auto"/>
          <w:sz w:val="22"/>
          <w:szCs w:val="22"/>
        </w:rPr>
        <w:t>监理服务内容：</w:t>
      </w:r>
      <w:r>
        <w:rPr>
          <w:rFonts w:hint="eastAsia" w:ascii="黑体" w:hAnsi="黑体" w:eastAsia="黑体" w:cs="黑体"/>
          <w:bCs/>
          <w:color w:val="auto"/>
          <w:sz w:val="22"/>
          <w:szCs w:val="22"/>
          <w:u w:val="single"/>
        </w:rPr>
        <w:t>建设工程</w:t>
      </w:r>
      <w:r>
        <w:rPr>
          <w:rFonts w:hint="eastAsia" w:ascii="黑体" w:hAnsi="黑体" w:eastAsia="黑体" w:cs="黑体"/>
          <w:color w:val="auto"/>
          <w:sz w:val="22"/>
          <w:szCs w:val="22"/>
        </w:rPr>
        <w:t>施工准备阶段、施工阶段、验收阶段至保修阶段全过程监理服务。监理人应严格按照《水利工程建设项目施工监理规范》（SL288-2014）开展监理工作，监理人的监理工作内容和主要措施：见合同附件中第一、第二条。</w:t>
      </w:r>
    </w:p>
    <w:p>
      <w:pPr>
        <w:autoSpaceDE w:val="0"/>
        <w:autoSpaceDN w:val="0"/>
        <w:adjustRightInd w:val="0"/>
        <w:snapToGrid w:val="0"/>
        <w:spacing w:line="360" w:lineRule="auto"/>
        <w:ind w:firstLine="442" w:firstLineChars="200"/>
        <w:rPr>
          <w:rFonts w:hint="eastAsia" w:ascii="黑体" w:hAnsi="黑体" w:eastAsia="黑体" w:cs="黑体"/>
          <w:color w:val="auto"/>
          <w:kern w:val="0"/>
          <w:sz w:val="22"/>
          <w:szCs w:val="22"/>
        </w:rPr>
      </w:pPr>
      <w:r>
        <w:rPr>
          <w:rFonts w:hint="eastAsia" w:ascii="黑体" w:hAnsi="黑体" w:eastAsia="黑体" w:cs="黑体"/>
          <w:b/>
          <w:color w:val="auto"/>
          <w:kern w:val="0"/>
          <w:sz w:val="22"/>
          <w:szCs w:val="22"/>
        </w:rPr>
        <w:t>第二十一条</w:t>
      </w:r>
      <w:r>
        <w:rPr>
          <w:rFonts w:hint="eastAsia" w:ascii="黑体" w:hAnsi="黑体" w:eastAsia="黑体" w:cs="黑体"/>
          <w:color w:val="auto"/>
          <w:kern w:val="0"/>
          <w:sz w:val="22"/>
          <w:szCs w:val="22"/>
        </w:rPr>
        <w:t xml:space="preserve"> 删除本款全文，并代之以：</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bCs/>
          <w:color w:val="auto"/>
          <w:sz w:val="22"/>
          <w:szCs w:val="22"/>
        </w:rPr>
        <w:t>（1）监理人应当在本合同生效后 14 天内组建监理机构，并进驻现场。同时向发包人提交监理规划、监理机构以及委派的总监理工程师和主要监理人员的名单、简历。监理机构的主要人员应与监理人在投标时递交的投标文件中所列人员一致，</w:t>
      </w:r>
      <w:r>
        <w:rPr>
          <w:rFonts w:hint="eastAsia" w:ascii="黑体" w:hAnsi="黑体" w:eastAsia="黑体" w:cs="黑体"/>
          <w:color w:val="auto"/>
          <w:kern w:val="0"/>
          <w:sz w:val="22"/>
          <w:szCs w:val="22"/>
        </w:rPr>
        <w:t>且人员数量必须满足施工现场的要求。</w:t>
      </w:r>
    </w:p>
    <w:p>
      <w:pPr>
        <w:autoSpaceDE w:val="0"/>
        <w:autoSpaceDN w:val="0"/>
        <w:adjustRightInd w:val="0"/>
        <w:snapToGrid w:val="0"/>
        <w:spacing w:line="360" w:lineRule="auto"/>
        <w:ind w:firstLine="480"/>
        <w:rPr>
          <w:rFonts w:hint="eastAsia" w:ascii="黑体" w:hAnsi="黑体" w:eastAsia="黑体" w:cs="黑体"/>
          <w:bCs/>
          <w:color w:val="auto"/>
          <w:sz w:val="22"/>
          <w:szCs w:val="22"/>
        </w:rPr>
      </w:pPr>
      <w:r>
        <w:rPr>
          <w:rFonts w:hint="eastAsia" w:ascii="黑体" w:hAnsi="黑体" w:eastAsia="黑体" w:cs="黑体"/>
          <w:bCs/>
          <w:color w:val="auto"/>
          <w:sz w:val="22"/>
          <w:szCs w:val="22"/>
        </w:rPr>
        <w:t>（2）总监理工程师及专业监理工程师必须常驻施工现场，监理人须制订上述人员的当值安排表，报委托人备案。</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违反本条款视为监理人违约，发包方有权降低监理报酬直至解除合同，另择监理人，监理人不得提出任何赔偿要求。</w:t>
      </w:r>
    </w:p>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第二十七条</w:t>
      </w:r>
      <w:r>
        <w:rPr>
          <w:rFonts w:hint="eastAsia" w:ascii="黑体" w:hAnsi="黑体" w:eastAsia="黑体" w:cs="黑体"/>
          <w:color w:val="auto"/>
          <w:sz w:val="22"/>
          <w:szCs w:val="22"/>
        </w:rPr>
        <w:t xml:space="preserve"> </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1、需旁站监理的工程重要部位是：</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1)基准点、基准线的测量放样；</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2)基础开挖成型后鉴定；</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3)基础处理；</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4)隐蔽工程；</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5)土方回填；</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6) 其他发包人书面要求的重点部位工程的施工。</w:t>
      </w:r>
    </w:p>
    <w:p>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2、需旁站监理的关键工序是：</w:t>
      </w:r>
    </w:p>
    <w:p>
      <w:pPr>
        <w:tabs>
          <w:tab w:val="left" w:pos="-180"/>
        </w:tabs>
        <w:spacing w:line="360" w:lineRule="auto"/>
        <w:ind w:firstLine="440" w:firstLineChars="200"/>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基础和板、梁、柱等重要构件钢筋绑扎、混凝土浇筑、混凝土试样、土方试样、原材料等见证取样并送检、金属结构拼装、焊接、安装和调试等关键工序。</w:t>
      </w:r>
    </w:p>
    <w:p>
      <w:pPr>
        <w:tabs>
          <w:tab w:val="left" w:pos="-180"/>
        </w:tabs>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第三十条 </w:t>
      </w:r>
      <w:r>
        <w:rPr>
          <w:rFonts w:hint="eastAsia" w:ascii="黑体" w:hAnsi="黑体" w:eastAsia="黑体" w:cs="黑体"/>
          <w:bCs/>
          <w:color w:val="auto"/>
          <w:sz w:val="22"/>
          <w:szCs w:val="22"/>
        </w:rPr>
        <w:t>委托人委托监理人主持的分部工程验收：</w:t>
      </w:r>
      <w:r>
        <w:rPr>
          <w:rFonts w:hint="eastAsia" w:ascii="黑体" w:hAnsi="黑体" w:eastAsia="黑体" w:cs="黑体"/>
          <w:color w:val="auto"/>
          <w:kern w:val="0"/>
          <w:sz w:val="22"/>
          <w:szCs w:val="22"/>
          <w:u w:val="single"/>
        </w:rPr>
        <w:t>具体由委托人指定</w:t>
      </w:r>
      <w:r>
        <w:rPr>
          <w:rFonts w:hint="eastAsia" w:ascii="黑体" w:hAnsi="黑体" w:eastAsia="黑体" w:cs="黑体"/>
          <w:color w:val="auto"/>
          <w:sz w:val="22"/>
          <w:szCs w:val="22"/>
        </w:rPr>
        <w:t>。</w:t>
      </w:r>
    </w:p>
    <w:p>
      <w:pPr>
        <w:spacing w:line="360" w:lineRule="auto"/>
        <w:ind w:firstLine="442" w:firstLineChars="20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第三十一条 </w:t>
      </w:r>
      <w:r>
        <w:rPr>
          <w:rFonts w:hint="eastAsia" w:ascii="黑体" w:hAnsi="黑体" w:eastAsia="黑体" w:cs="黑体"/>
          <w:color w:val="auto"/>
          <w:sz w:val="22"/>
          <w:szCs w:val="22"/>
        </w:rPr>
        <w:t>在本合同终止后，未征得委托人同意，不得泄露与本合同业务有关的技术、商务等秘密。</w:t>
      </w: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bookmarkStart w:id="71" w:name="_Toc511313815"/>
      <w:r>
        <w:rPr>
          <w:rFonts w:hint="eastAsia" w:ascii="黑体" w:hAnsi="黑体" w:eastAsia="黑体" w:cs="黑体"/>
          <w:bCs/>
          <w:color w:val="auto"/>
          <w:sz w:val="22"/>
          <w:szCs w:val="22"/>
        </w:rPr>
        <w:t>监理服务酬金</w:t>
      </w:r>
      <w:bookmarkEnd w:id="71"/>
    </w:p>
    <w:p>
      <w:pPr>
        <w:autoSpaceDE w:val="0"/>
        <w:autoSpaceDN w:val="0"/>
        <w:adjustRightInd w:val="0"/>
        <w:snapToGrid w:val="0"/>
        <w:spacing w:line="360" w:lineRule="auto"/>
        <w:ind w:firstLine="567"/>
        <w:rPr>
          <w:rFonts w:hint="eastAsia" w:ascii="黑体" w:hAnsi="黑体" w:eastAsia="黑体" w:cs="黑体"/>
          <w:color w:val="auto"/>
          <w:sz w:val="22"/>
          <w:szCs w:val="22"/>
          <w:highlight w:val="none"/>
        </w:rPr>
      </w:pPr>
      <w:bookmarkStart w:id="72" w:name="_Toc511313816"/>
      <w:r>
        <w:rPr>
          <w:rFonts w:hint="eastAsia" w:ascii="黑体" w:hAnsi="黑体" w:eastAsia="黑体" w:cs="黑体"/>
          <w:b/>
          <w:color w:val="auto"/>
          <w:sz w:val="22"/>
          <w:szCs w:val="22"/>
          <w:highlight w:val="none"/>
        </w:rPr>
        <w:t xml:space="preserve">第三十二条 </w:t>
      </w:r>
      <w:r>
        <w:rPr>
          <w:rFonts w:hint="eastAsia" w:ascii="黑体" w:hAnsi="黑体" w:eastAsia="黑体" w:cs="黑体"/>
          <w:color w:val="auto"/>
          <w:sz w:val="22"/>
          <w:szCs w:val="22"/>
          <w:highlight w:val="none"/>
        </w:rPr>
        <w:t xml:space="preserve"> 监理服务酬金支付时间和支付方式</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86"/>
        <w:gridCol w:w="2582"/>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rPr>
              <w:t>支付基</w:t>
            </w:r>
            <w:r>
              <w:rPr>
                <w:rFonts w:hint="eastAsia" w:ascii="宋体" w:hAnsi="宋体" w:eastAsia="宋体" w:cs="宋体"/>
                <w:b w:val="0"/>
                <w:bCs w:val="0"/>
                <w:sz w:val="21"/>
                <w:szCs w:val="21"/>
                <w:highlight w:val="none"/>
                <w:lang w:val="en-US" w:eastAsia="zh-CN"/>
              </w:rPr>
              <w:t>价</w:t>
            </w:r>
          </w:p>
        </w:tc>
        <w:tc>
          <w:tcPr>
            <w:tcW w:w="98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rPr>
              <w:t>支付款</w:t>
            </w:r>
            <w:r>
              <w:rPr>
                <w:rFonts w:hint="eastAsia" w:ascii="宋体" w:hAnsi="宋体" w:eastAsia="宋体" w:cs="宋体"/>
                <w:b w:val="0"/>
                <w:bCs w:val="0"/>
                <w:sz w:val="21"/>
                <w:szCs w:val="21"/>
                <w:highlight w:val="none"/>
                <w:vertAlign w:val="baseline"/>
                <w:lang w:val="en-US" w:eastAsia="zh-CN"/>
              </w:rPr>
              <w:t>项</w:t>
            </w:r>
          </w:p>
        </w:tc>
        <w:tc>
          <w:tcPr>
            <w:tcW w:w="2582"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rPr>
              <w:t>支付时</w:t>
            </w:r>
            <w:r>
              <w:rPr>
                <w:rFonts w:hint="eastAsia" w:ascii="宋体" w:hAnsi="宋体" w:eastAsia="宋体" w:cs="宋体"/>
                <w:b w:val="0"/>
                <w:bCs w:val="0"/>
                <w:sz w:val="21"/>
                <w:szCs w:val="21"/>
                <w:highlight w:val="none"/>
                <w:lang w:val="en-US" w:eastAsia="zh-CN"/>
              </w:rPr>
              <w:t>间</w:t>
            </w:r>
          </w:p>
        </w:tc>
        <w:tc>
          <w:tcPr>
            <w:tcW w:w="3948"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支付比例与支付金额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vMerge w:val="restart"/>
            <w:noWrap w:val="0"/>
            <w:vAlign w:val="center"/>
          </w:tcPr>
          <w:p>
            <w:pPr>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监理费</w:t>
            </w:r>
          </w:p>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合同价</w:t>
            </w:r>
          </w:p>
        </w:tc>
        <w:tc>
          <w:tcPr>
            <w:tcW w:w="98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预付款</w:t>
            </w:r>
          </w:p>
        </w:tc>
        <w:tc>
          <w:tcPr>
            <w:tcW w:w="2582"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cs="宋体"/>
                <w:b w:val="0"/>
                <w:bCs w:val="0"/>
                <w:sz w:val="21"/>
                <w:szCs w:val="21"/>
                <w:highlight w:val="none"/>
                <w:lang w:val="en-US" w:eastAsia="zh-CN"/>
              </w:rPr>
              <w:t>在资金落实且</w:t>
            </w:r>
            <w:r>
              <w:rPr>
                <w:rFonts w:hint="eastAsia" w:ascii="宋体" w:hAnsi="宋体" w:eastAsia="宋体" w:cs="宋体"/>
                <w:b w:val="0"/>
                <w:bCs w:val="0"/>
                <w:sz w:val="21"/>
                <w:szCs w:val="21"/>
                <w:highlight w:val="none"/>
              </w:rPr>
              <w:t>在签订合同后</w:t>
            </w:r>
            <w:r>
              <w:rPr>
                <w:rFonts w:hint="eastAsia" w:ascii="宋体" w:hAnsi="宋体" w:cs="宋体"/>
                <w:b w:val="0"/>
                <w:bCs w:val="0"/>
                <w:sz w:val="21"/>
                <w:szCs w:val="21"/>
                <w:highlight w:val="none"/>
                <w:lang w:val="en-US" w:eastAsia="zh-CN"/>
              </w:rPr>
              <w:t>15</w:t>
            </w:r>
            <w:r>
              <w:rPr>
                <w:rFonts w:hint="eastAsia" w:ascii="宋体" w:hAnsi="宋体" w:eastAsia="宋体" w:cs="宋体"/>
                <w:b w:val="0"/>
                <w:bCs w:val="0"/>
                <w:sz w:val="21"/>
                <w:szCs w:val="21"/>
                <w:highlight w:val="none"/>
              </w:rPr>
              <w:t>天内</w:t>
            </w:r>
          </w:p>
        </w:tc>
        <w:tc>
          <w:tcPr>
            <w:tcW w:w="3948"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监理签约合同监理费的30%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vMerge w:val="continue"/>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进度款</w:t>
            </w:r>
          </w:p>
        </w:tc>
        <w:tc>
          <w:tcPr>
            <w:tcW w:w="2582" w:type="dxa"/>
            <w:noWrap w:val="0"/>
            <w:vAlign w:val="center"/>
          </w:tcPr>
          <w:p>
            <w:pPr>
              <w:widowControl/>
              <w:snapToGrid w:val="0"/>
              <w:spacing w:line="400" w:lineRule="exact"/>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lang w:val="en-US" w:eastAsia="zh-CN"/>
              </w:rPr>
              <w:t>按施工进度和结合工程进度款支付的进度确定监理费进度款</w:t>
            </w:r>
          </w:p>
        </w:tc>
        <w:tc>
          <w:tcPr>
            <w:tcW w:w="3948" w:type="dxa"/>
            <w:noWrap w:val="0"/>
            <w:vAlign w:val="center"/>
          </w:tcPr>
          <w:p>
            <w:pPr>
              <w:widowControl/>
              <w:snapToGrid w:val="0"/>
              <w:spacing w:line="400" w:lineRule="exact"/>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按施工进度款申请结合实际完成的工程量支付监理费合同价的60%，监理费进度款支付至监理费合同价的60%时停止支付。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6" w:type="dxa"/>
            <w:vMerge w:val="continue"/>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完工付款</w:t>
            </w:r>
          </w:p>
        </w:tc>
        <w:tc>
          <w:tcPr>
            <w:tcW w:w="2582"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工程通过</w:t>
            </w:r>
            <w:r>
              <w:rPr>
                <w:rFonts w:hint="eastAsia" w:ascii="宋体" w:hAnsi="宋体" w:eastAsia="宋体" w:cs="宋体"/>
                <w:b w:val="0"/>
                <w:bCs w:val="0"/>
                <w:sz w:val="21"/>
                <w:szCs w:val="21"/>
                <w:highlight w:val="none"/>
                <w:vertAlign w:val="baseline"/>
                <w:lang w:val="en-US" w:eastAsia="zh-CN"/>
              </w:rPr>
              <w:t>完工</w:t>
            </w:r>
            <w:r>
              <w:rPr>
                <w:rFonts w:hint="eastAsia" w:ascii="宋体" w:hAnsi="宋体" w:eastAsia="宋体" w:cs="宋体"/>
                <w:b w:val="0"/>
                <w:bCs w:val="0"/>
                <w:sz w:val="21"/>
                <w:szCs w:val="21"/>
                <w:highlight w:val="none"/>
                <w:vertAlign w:val="baseline"/>
              </w:rPr>
              <w:t>验收后的</w:t>
            </w:r>
            <w:r>
              <w:rPr>
                <w:rFonts w:hint="eastAsia" w:ascii="宋体" w:hAnsi="宋体" w:cs="宋体"/>
                <w:b w:val="0"/>
                <w:bCs w:val="0"/>
                <w:sz w:val="21"/>
                <w:szCs w:val="21"/>
                <w:highlight w:val="none"/>
                <w:vertAlign w:val="baseline"/>
                <w:lang w:val="en-US" w:eastAsia="zh-CN"/>
              </w:rPr>
              <w:t>15</w:t>
            </w:r>
            <w:r>
              <w:rPr>
                <w:rFonts w:hint="eastAsia" w:ascii="宋体" w:hAnsi="宋体" w:eastAsia="宋体" w:cs="宋体"/>
                <w:b w:val="0"/>
                <w:bCs w:val="0"/>
                <w:sz w:val="21"/>
                <w:szCs w:val="21"/>
                <w:highlight w:val="none"/>
                <w:vertAlign w:val="baseline"/>
              </w:rPr>
              <w:t>天内</w:t>
            </w:r>
          </w:p>
        </w:tc>
        <w:tc>
          <w:tcPr>
            <w:tcW w:w="3948"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支付至监理费合同价的97%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06" w:type="dxa"/>
            <w:vMerge w:val="continue"/>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最终支付</w:t>
            </w:r>
          </w:p>
        </w:tc>
        <w:tc>
          <w:tcPr>
            <w:tcW w:w="2582" w:type="dxa"/>
            <w:noWrap w:val="0"/>
            <w:vAlign w:val="center"/>
          </w:tcPr>
          <w:p>
            <w:pPr>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工程</w:t>
            </w:r>
            <w:r>
              <w:rPr>
                <w:rFonts w:hint="eastAsia" w:ascii="宋体" w:hAnsi="宋体" w:eastAsia="宋体" w:cs="宋体"/>
                <w:b w:val="0"/>
                <w:bCs w:val="0"/>
                <w:sz w:val="21"/>
                <w:szCs w:val="21"/>
                <w:highlight w:val="none"/>
                <w:lang w:val="en-US" w:eastAsia="zh-CN"/>
              </w:rPr>
              <w:t>完工</w:t>
            </w:r>
            <w:r>
              <w:rPr>
                <w:rFonts w:hint="eastAsia" w:ascii="宋体" w:hAnsi="宋体" w:eastAsia="宋体" w:cs="宋体"/>
                <w:b w:val="0"/>
                <w:bCs w:val="0"/>
                <w:sz w:val="21"/>
                <w:szCs w:val="21"/>
                <w:highlight w:val="none"/>
              </w:rPr>
              <w:t>验收通过之日起期满一年后</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即缺陷责任期结束后</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的</w:t>
            </w:r>
            <w:r>
              <w:rPr>
                <w:rFonts w:hint="eastAsia" w:ascii="宋体" w:hAnsi="宋体" w:cs="宋体"/>
                <w:b w:val="0"/>
                <w:bCs w:val="0"/>
                <w:sz w:val="21"/>
                <w:szCs w:val="21"/>
                <w:highlight w:val="none"/>
                <w:lang w:val="en-US" w:eastAsia="zh-CN"/>
              </w:rPr>
              <w:t>15</w:t>
            </w:r>
            <w:r>
              <w:rPr>
                <w:rFonts w:hint="eastAsia" w:ascii="宋体" w:hAnsi="宋体" w:eastAsia="宋体" w:cs="宋体"/>
                <w:b w:val="0"/>
                <w:bCs w:val="0"/>
                <w:sz w:val="21"/>
                <w:szCs w:val="21"/>
                <w:highlight w:val="none"/>
              </w:rPr>
              <w:t xml:space="preserve"> 天内</w:t>
            </w:r>
          </w:p>
        </w:tc>
        <w:tc>
          <w:tcPr>
            <w:tcW w:w="3948" w:type="dxa"/>
            <w:noWrap w:val="0"/>
            <w:vAlign w:val="center"/>
          </w:tcPr>
          <w:p>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支付监理费结算价的3%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楷体"/>
                <w:b w:val="0"/>
                <w:bCs w:val="0"/>
                <w:color w:val="000000"/>
                <w:kern w:val="0"/>
                <w:szCs w:val="21"/>
                <w:highlight w:val="none"/>
                <w:lang w:val="en-US" w:eastAsia="zh-CN"/>
              </w:rPr>
            </w:pPr>
            <w:r>
              <w:rPr>
                <w:rFonts w:hint="eastAsia" w:ascii="宋体" w:hAnsi="宋体" w:eastAsia="宋体" w:cs="宋体"/>
                <w:b w:val="0"/>
                <w:bCs w:val="0"/>
                <w:sz w:val="21"/>
                <w:szCs w:val="21"/>
                <w:highlight w:val="none"/>
                <w:vertAlign w:val="baseline"/>
              </w:rPr>
              <w:t>备注</w:t>
            </w:r>
            <w:r>
              <w:rPr>
                <w:rFonts w:hint="eastAsia" w:ascii="宋体" w:hAnsi="宋体" w:eastAsia="宋体" w:cs="宋体"/>
                <w:b w:val="0"/>
                <w:bCs w:val="0"/>
                <w:color w:val="000000"/>
                <w:sz w:val="21"/>
                <w:szCs w:val="21"/>
                <w:highlight w:val="none"/>
                <w:vertAlign w:val="baseline"/>
              </w:rPr>
              <w:t>：</w:t>
            </w:r>
            <w:r>
              <w:rPr>
                <w:rFonts w:hint="eastAsia" w:ascii="宋体" w:hAnsi="宋体" w:cs="宋体"/>
                <w:b w:val="0"/>
                <w:bCs w:val="0"/>
                <w:color w:val="000000"/>
                <w:sz w:val="21"/>
                <w:szCs w:val="21"/>
                <w:highlight w:val="none"/>
                <w:vertAlign w:val="baseline"/>
                <w:lang w:val="en-US" w:eastAsia="zh-CN"/>
              </w:rPr>
              <w:t>1、</w:t>
            </w:r>
            <w:r>
              <w:rPr>
                <w:rFonts w:hint="eastAsia" w:ascii="宋体" w:hAnsi="宋体" w:eastAsia="宋体" w:cs="宋体"/>
                <w:b w:val="0"/>
                <w:bCs w:val="0"/>
                <w:color w:val="000000"/>
                <w:sz w:val="21"/>
                <w:szCs w:val="21"/>
                <w:highlight w:val="none"/>
                <w:vertAlign w:val="baseline"/>
              </w:rPr>
              <w:t>监理人、委托人双方可根据项目实际完成工程，实施阶段建设及办理阶段结算（施工过程结算），依据工程进度节点，对已完成的分部工程或标志性节点形象工程的价款进行的计算、调整、确认和支付，可分段办理验收、结算等手续。阶段监理费合同结算价= 审定的阶段建安工程费结算价（由财政投资审核中心审定）/建安工程费合同价×</w:t>
            </w:r>
            <w:r>
              <w:rPr>
                <w:rFonts w:hint="eastAsia" w:ascii="宋体" w:hAnsi="宋体" w:cs="宋体"/>
                <w:b w:val="0"/>
                <w:bCs w:val="0"/>
                <w:color w:val="000000"/>
                <w:sz w:val="21"/>
                <w:szCs w:val="21"/>
                <w:highlight w:val="none"/>
                <w:vertAlign w:val="baseline"/>
                <w:lang w:val="en-US" w:eastAsia="zh-CN"/>
              </w:rPr>
              <w:t>(</w:t>
            </w:r>
            <w:r>
              <w:rPr>
                <w:rFonts w:hint="eastAsia" w:ascii="宋体" w:hAnsi="宋体" w:cs="楷体"/>
                <w:b w:val="0"/>
                <w:bCs w:val="0"/>
                <w:color w:val="000000"/>
                <w:kern w:val="0"/>
                <w:szCs w:val="21"/>
                <w:highlight w:val="none"/>
              </w:rPr>
              <w:t>经财政部门审</w:t>
            </w:r>
            <w:r>
              <w:rPr>
                <w:rFonts w:hint="eastAsia" w:ascii="宋体" w:hAnsi="宋体" w:cs="楷体"/>
                <w:b w:val="0"/>
                <w:bCs w:val="0"/>
                <w:color w:val="000000"/>
                <w:kern w:val="0"/>
                <w:szCs w:val="21"/>
                <w:highlight w:val="none"/>
                <w:lang w:val="en-US" w:eastAsia="zh-CN"/>
              </w:rPr>
              <w:t>定</w:t>
            </w:r>
            <w:r>
              <w:rPr>
                <w:rFonts w:hint="eastAsia" w:ascii="宋体" w:hAnsi="宋体" w:cs="楷体"/>
                <w:b w:val="0"/>
                <w:bCs w:val="0"/>
                <w:color w:val="000000"/>
                <w:kern w:val="0"/>
                <w:szCs w:val="21"/>
                <w:highlight w:val="none"/>
              </w:rPr>
              <w:t>的监理费概算</w:t>
            </w:r>
            <w:r>
              <w:rPr>
                <w:rFonts w:hint="eastAsia" w:ascii="宋体" w:hAnsi="宋体" w:cs="楷体"/>
                <w:b w:val="0"/>
                <w:bCs w:val="0"/>
                <w:color w:val="000000"/>
                <w:kern w:val="0"/>
                <w:szCs w:val="21"/>
                <w:highlight w:val="none"/>
                <w:lang w:val="en-US" w:eastAsia="zh-CN"/>
              </w:rPr>
              <w:t>价</w:t>
            </w:r>
            <w:r>
              <w:rPr>
                <w:rFonts w:hint="eastAsia" w:ascii="宋体" w:hAnsi="宋体" w:cs="楷体"/>
                <w:b w:val="0"/>
                <w:bCs w:val="0"/>
                <w:color w:val="000000"/>
                <w:kern w:val="0"/>
                <w:szCs w:val="21"/>
                <w:highlight w:val="none"/>
              </w:rPr>
              <w:t>×（1-监理费中标下浮率）</w:t>
            </w:r>
            <w:r>
              <w:rPr>
                <w:rFonts w:hint="eastAsia" w:ascii="宋体" w:hAnsi="宋体" w:cs="楷体"/>
                <w:b w:val="0"/>
                <w:bCs w:val="0"/>
                <w:color w:val="000000"/>
                <w:kern w:val="0"/>
                <w:szCs w:val="21"/>
                <w:highlight w:val="none"/>
                <w:lang w:val="en-US" w:eastAsia="zh-CN"/>
              </w:rPr>
              <w:t>)</w:t>
            </w:r>
          </w:p>
          <w:p>
            <w:pPr>
              <w:pStyle w:val="10"/>
              <w:numPr>
                <w:ilvl w:val="0"/>
                <w:numId w:val="39"/>
              </w:numPr>
              <w:ind w:left="840" w:leftChars="0" w:firstLine="0" w:firstLineChars="0"/>
              <w:rPr>
                <w:rFonts w:hint="eastAsia" w:ascii="宋体" w:hAnsi="宋体" w:cs="楷体"/>
                <w:b w:val="0"/>
                <w:bCs w:val="0"/>
                <w:color w:val="000000"/>
                <w:kern w:val="0"/>
                <w:szCs w:val="21"/>
                <w:highlight w:val="none"/>
                <w:lang w:val="en-US" w:eastAsia="zh-CN"/>
              </w:rPr>
            </w:pPr>
            <w:r>
              <w:rPr>
                <w:rFonts w:hint="eastAsia" w:ascii="宋体" w:hAnsi="宋体" w:cs="楷体"/>
                <w:b w:val="0"/>
                <w:bCs w:val="0"/>
                <w:color w:val="000000"/>
                <w:kern w:val="0"/>
                <w:szCs w:val="21"/>
                <w:highlight w:val="none"/>
                <w:lang w:val="en-US" w:eastAsia="zh-CN"/>
              </w:rPr>
              <w:t>监理服务期按初设批复的施工工期计算，若该工程在经批复后施工工期内没有完成，监理服务费不再另外增加附加工作酬金，按签定的监理费合同价进行支付。</w:t>
            </w:r>
          </w:p>
          <w:p>
            <w:pPr>
              <w:numPr>
                <w:ilvl w:val="0"/>
                <w:numId w:val="39"/>
              </w:numPr>
              <w:ind w:left="840" w:leftChars="0" w:firstLine="0" w:firstLineChars="0"/>
              <w:rPr>
                <w:rFonts w:hint="default"/>
                <w:highlight w:val="none"/>
                <w:lang w:val="en-US" w:eastAsia="zh-CN"/>
              </w:rPr>
            </w:pPr>
            <w:r>
              <w:rPr>
                <w:rFonts w:hint="default"/>
                <w:highlight w:val="none"/>
                <w:lang w:val="en-US" w:eastAsia="zh-CN"/>
              </w:rPr>
              <w:t>委托人委托监理人担负本监理合同外的咨询、监理及鉴定等活动时，双方可临时协商该附加监理工作的报酬。</w:t>
            </w:r>
          </w:p>
          <w:p>
            <w:pPr>
              <w:numPr>
                <w:ilvl w:val="0"/>
                <w:numId w:val="0"/>
              </w:numPr>
              <w:ind w:left="840" w:leftChars="0"/>
              <w:rPr>
                <w:rFonts w:hint="default"/>
                <w:highlight w:val="none"/>
                <w:lang w:val="en-US" w:eastAsia="zh-CN"/>
              </w:rPr>
            </w:pPr>
          </w:p>
        </w:tc>
      </w:tr>
    </w:tbl>
    <w:p>
      <w:pPr>
        <w:spacing w:line="360" w:lineRule="auto"/>
        <w:ind w:firstLine="440" w:firstLineChars="200"/>
        <w:rPr>
          <w:rFonts w:hint="eastAsia" w:ascii="黑体" w:hAnsi="黑体" w:eastAsia="黑体" w:cs="黑体"/>
          <w:sz w:val="22"/>
          <w:szCs w:val="22"/>
          <w:highlight w:val="yellow"/>
        </w:rPr>
      </w:pPr>
    </w:p>
    <w:p>
      <w:pPr>
        <w:autoSpaceDE w:val="0"/>
        <w:autoSpaceDN w:val="0"/>
        <w:adjustRightInd w:val="0"/>
        <w:snapToGrid w:val="0"/>
        <w:spacing w:line="360" w:lineRule="auto"/>
        <w:ind w:firstLine="567"/>
        <w:rPr>
          <w:rFonts w:hint="eastAsia" w:ascii="黑体" w:hAnsi="黑体" w:eastAsia="黑体" w:cs="黑体"/>
          <w:color w:val="auto"/>
          <w:sz w:val="22"/>
          <w:szCs w:val="22"/>
        </w:rPr>
      </w:pPr>
      <w:r>
        <w:rPr>
          <w:rFonts w:hint="eastAsia" w:ascii="黑体" w:hAnsi="黑体" w:eastAsia="黑体" w:cs="黑体"/>
          <w:b/>
          <w:color w:val="auto"/>
          <w:sz w:val="22"/>
          <w:szCs w:val="22"/>
        </w:rPr>
        <w:t>第三十三条</w:t>
      </w:r>
      <w:r>
        <w:rPr>
          <w:rFonts w:hint="eastAsia" w:ascii="黑体" w:hAnsi="黑体" w:eastAsia="黑体" w:cs="黑体"/>
          <w:color w:val="auto"/>
          <w:sz w:val="22"/>
          <w:szCs w:val="22"/>
        </w:rPr>
        <w:t xml:space="preserve"> 删除本条全文，并代之以：</w:t>
      </w:r>
    </w:p>
    <w:p>
      <w:pPr>
        <w:tabs>
          <w:tab w:val="left" w:pos="1335"/>
        </w:tabs>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在施工工期发生逾期时，监理服务费总价不变。</w:t>
      </w:r>
    </w:p>
    <w:p>
      <w:pPr>
        <w:tabs>
          <w:tab w:val="left" w:pos="1335"/>
        </w:tabs>
        <w:spacing w:line="360" w:lineRule="auto"/>
        <w:ind w:firstLine="440" w:firstLineChars="200"/>
        <w:rPr>
          <w:rFonts w:hint="eastAsia" w:ascii="黑体" w:hAnsi="黑体" w:eastAsia="黑体" w:cs="黑体"/>
          <w:color w:val="auto"/>
          <w:sz w:val="22"/>
          <w:szCs w:val="22"/>
          <w:highlight w:val="yellow"/>
        </w:rPr>
      </w:pPr>
      <w:r>
        <w:rPr>
          <w:rFonts w:hint="eastAsia" w:ascii="黑体" w:hAnsi="黑体" w:eastAsia="黑体" w:cs="黑体"/>
          <w:color w:val="auto"/>
          <w:sz w:val="22"/>
          <w:szCs w:val="22"/>
          <w:highlight w:val="none"/>
        </w:rPr>
        <w:t>监理人受委托人委托完成附加服务应得到的酬金，由委托人与监理人协商、签订监理补充协议进行计取和支付。</w:t>
      </w:r>
    </w:p>
    <w:p>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rPr>
      </w:pPr>
      <w:r>
        <w:rPr>
          <w:rFonts w:hint="eastAsia" w:ascii="黑体" w:hAnsi="黑体" w:eastAsia="黑体" w:cs="黑体"/>
          <w:bCs/>
          <w:color w:val="auto"/>
          <w:sz w:val="22"/>
          <w:szCs w:val="22"/>
        </w:rPr>
        <w:t>违约责任</w:t>
      </w:r>
      <w:bookmarkEnd w:id="72"/>
    </w:p>
    <w:p>
      <w:pPr>
        <w:spacing w:line="360" w:lineRule="auto"/>
        <w:ind w:firstLine="540"/>
        <w:rPr>
          <w:rFonts w:hint="eastAsia" w:ascii="黑体" w:hAnsi="黑体" w:eastAsia="黑体" w:cs="黑体"/>
          <w:color w:val="auto"/>
          <w:sz w:val="22"/>
          <w:szCs w:val="22"/>
        </w:rPr>
      </w:pPr>
      <w:r>
        <w:rPr>
          <w:rFonts w:hint="eastAsia" w:ascii="黑体" w:hAnsi="黑体" w:eastAsia="黑体" w:cs="黑体"/>
          <w:b/>
          <w:color w:val="auto"/>
          <w:sz w:val="22"/>
          <w:szCs w:val="22"/>
        </w:rPr>
        <w:t>第四十条</w:t>
      </w:r>
      <w:r>
        <w:rPr>
          <w:rFonts w:hint="eastAsia" w:ascii="黑体" w:hAnsi="黑体" w:eastAsia="黑体" w:cs="黑体"/>
          <w:color w:val="auto"/>
          <w:sz w:val="22"/>
          <w:szCs w:val="22"/>
        </w:rPr>
        <w:t xml:space="preserve"> 委托人违约，应支付给监理人违约金。</w:t>
      </w:r>
    </w:p>
    <w:p>
      <w:pPr>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违约金：</w:t>
      </w:r>
      <w:r>
        <w:rPr>
          <w:rFonts w:hint="eastAsia" w:ascii="黑体" w:hAnsi="黑体" w:eastAsia="黑体" w:cs="黑体"/>
          <w:color w:val="auto"/>
          <w:sz w:val="22"/>
          <w:szCs w:val="22"/>
          <w:u w:val="single"/>
        </w:rPr>
        <w:t>由双方协商确定</w:t>
      </w:r>
      <w:r>
        <w:rPr>
          <w:rFonts w:hint="eastAsia" w:ascii="黑体" w:hAnsi="黑体" w:eastAsia="黑体" w:cs="黑体"/>
          <w:color w:val="auto"/>
          <w:sz w:val="22"/>
          <w:szCs w:val="22"/>
        </w:rPr>
        <w:t>。</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第四十一条 </w:t>
      </w:r>
      <w:r>
        <w:rPr>
          <w:rFonts w:hint="eastAsia" w:ascii="黑体" w:hAnsi="黑体" w:eastAsia="黑体" w:cs="黑体"/>
          <w:color w:val="auto"/>
          <w:kern w:val="0"/>
          <w:sz w:val="22"/>
          <w:szCs w:val="22"/>
        </w:rPr>
        <w:t>因财政集中支付等原因造成延迟支付的，委托人不承担因此造成的责任。</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b/>
          <w:color w:val="auto"/>
          <w:sz w:val="22"/>
          <w:szCs w:val="22"/>
        </w:rPr>
        <w:t xml:space="preserve">第四十二条 </w:t>
      </w:r>
      <w:r>
        <w:rPr>
          <w:rFonts w:hint="eastAsia" w:ascii="黑体" w:hAnsi="黑体" w:eastAsia="黑体" w:cs="黑体"/>
          <w:color w:val="auto"/>
          <w:sz w:val="22"/>
          <w:szCs w:val="22"/>
        </w:rPr>
        <w:t>监理人有以下违约行为，应支付给委托人违约金：</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(1) 监理人在履行监理服务合同中，由于过失行为给委托人带来经济损失的，应赔偿委托人的赔偿金，计算公式为：</w:t>
      </w:r>
    </w:p>
    <w:p>
      <w:pPr>
        <w:spacing w:line="360" w:lineRule="auto"/>
        <w:ind w:firstLine="540"/>
        <w:rPr>
          <w:rFonts w:hint="eastAsia" w:ascii="黑体" w:hAnsi="黑体" w:eastAsia="黑体" w:cs="黑体"/>
          <w:color w:val="FF0000"/>
          <w:sz w:val="22"/>
          <w:szCs w:val="22"/>
        </w:rPr>
      </w:pPr>
      <w:r>
        <w:rPr>
          <w:rFonts w:hint="eastAsia" w:ascii="黑体" w:hAnsi="黑体" w:eastAsia="黑体" w:cs="黑体"/>
          <w:color w:val="auto"/>
          <w:sz w:val="22"/>
          <w:szCs w:val="22"/>
        </w:rPr>
        <w:t>赔偿金=直接经济损失×</w:t>
      </w:r>
      <w:r>
        <w:rPr>
          <w:rFonts w:hint="eastAsia" w:ascii="黑体" w:hAnsi="黑体" w:eastAsia="黑体" w:cs="黑体"/>
          <w:color w:val="auto"/>
          <w:sz w:val="22"/>
          <w:szCs w:val="22"/>
          <w:lang w:val="en-US" w:eastAsia="zh-CN"/>
        </w:rPr>
        <w:t>监理人承担责任</w:t>
      </w:r>
      <w:r>
        <w:rPr>
          <w:rFonts w:hint="eastAsia" w:ascii="黑体" w:hAnsi="黑体" w:eastAsia="黑体" w:cs="黑体"/>
          <w:color w:val="auto"/>
          <w:sz w:val="22"/>
          <w:szCs w:val="22"/>
        </w:rPr>
        <w:t>比率。</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(2) 监理人未按规定进驻现场或者未按要求旁站监理的，每次向发包人支付壹仟元违约金。</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(3) 监理人未按规定向发包人报告工作或者提供不实报告的，每次向发包人支付违约金壹仟元。</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(4) 监理人指派不具有相应资质的人员进行监理的，每次向发包人支付违约金叁仟元。</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(5) 监理人及其工作人员接受承包人或者建筑材料、建筑构配件和设备供应人的利益或者请客送礼的，每次向发包人支付违约金壹万元。</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(6) 监理人在工作中超越合同规定权限审批的，每次向发包人支付违约金壹万元，负有直接责任的监理人员应当被撤换。</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(7) 监理人在计量或变更设计工作中弄虚作假的，每次向发包人支付壹万元违约金；造成发包人损失的，应当赔偿全部损失或者与有关责任人连带赔偿全部损失；负有直接责任的监理人员应当被撤换。</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(8) 监理人明知不合格的建设工程、建筑材料、建筑构配件和设备按照合格签字的，每次向发包人支付壹万元违约金；造成发包人损失的，应当赔偿全部损失或者与有关责任人连带赔偿全部损失。</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(9) 监理人与承包人串通，弄虚作假、降低工程质量的，每次向发包人支付叁万元违约金；造成发包人损失的，应当赔偿全部损失或者与有关责任人连带赔偿全部损失。</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(10) 监理人及其工作人员向承包人介绍分包队伍，推荐建筑材料、建筑构配件和设备的，每次向发包人支付叁万元违约金，监理人及其介绍的分包队伍将被清除出场。但介绍或者推荐经发包人书面同意的除外。</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(11) 监理人转包或者分包监理业务的，应当向发包人支付监理服务酬金20%的违约金。</w:t>
      </w:r>
    </w:p>
    <w:p>
      <w:pPr>
        <w:spacing w:line="360" w:lineRule="auto"/>
        <w:ind w:firstLine="540"/>
        <w:rPr>
          <w:rFonts w:hint="eastAsia" w:ascii="黑体" w:hAnsi="黑体" w:eastAsia="黑体" w:cs="黑体"/>
          <w:color w:val="auto"/>
          <w:sz w:val="22"/>
          <w:szCs w:val="22"/>
        </w:rPr>
      </w:pPr>
      <w:r>
        <w:rPr>
          <w:rFonts w:hint="eastAsia" w:ascii="黑体" w:hAnsi="黑体" w:eastAsia="黑体" w:cs="黑体"/>
          <w:color w:val="auto"/>
          <w:sz w:val="22"/>
          <w:szCs w:val="22"/>
        </w:rPr>
        <w:t>(12) 因监理人的故意行为致使工期延误的，逾期每日向发包人支付叁仟元违约金；给发包人造成损失的，还应当赔偿全部损失或者与有关责任人连带赔偿全部损失。</w:t>
      </w:r>
    </w:p>
    <w:p>
      <w:pPr>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（13）每月委托人及有关部门发现总监理工程师、监理工程师和监理员不在场（指当值不在场）每人每月累计超过3次的，则视为监理人违约。从第四次起应按</w:t>
      </w:r>
      <w:r>
        <w:rPr>
          <w:rFonts w:hint="eastAsia" w:ascii="黑体" w:hAnsi="黑体" w:eastAsia="黑体" w:cs="黑体"/>
          <w:color w:val="auto"/>
          <w:sz w:val="22"/>
          <w:szCs w:val="22"/>
          <w:lang w:val="en-US" w:eastAsia="zh-CN"/>
        </w:rPr>
        <w:t>每</w:t>
      </w:r>
      <w:r>
        <w:rPr>
          <w:rFonts w:hint="eastAsia" w:ascii="黑体" w:hAnsi="黑体" w:eastAsia="黑体" w:cs="黑体"/>
          <w:color w:val="auto"/>
          <w:sz w:val="22"/>
          <w:szCs w:val="22"/>
        </w:rPr>
        <w:t>人每次1000元向委托人支付违约金。</w:t>
      </w:r>
    </w:p>
    <w:p>
      <w:pPr>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（14）累计三次总监不主持工地例会，从第四次起每次在监理服务费中扣除1000元。</w:t>
      </w:r>
    </w:p>
    <w:p>
      <w:pPr>
        <w:spacing w:line="360" w:lineRule="auto"/>
        <w:ind w:firstLine="440" w:firstLineChars="200"/>
        <w:rPr>
          <w:rFonts w:hint="eastAsia" w:ascii="黑体" w:hAnsi="黑体" w:eastAsia="黑体" w:cs="黑体"/>
          <w:color w:val="auto"/>
          <w:sz w:val="22"/>
          <w:szCs w:val="22"/>
        </w:rPr>
      </w:pPr>
      <w:r>
        <w:rPr>
          <w:rFonts w:hint="eastAsia" w:ascii="黑体" w:hAnsi="黑体" w:eastAsia="黑体" w:cs="黑体"/>
          <w:color w:val="auto"/>
          <w:sz w:val="22"/>
          <w:szCs w:val="22"/>
        </w:rPr>
        <w:t>（15）监理人在投标时指定的总监在工程交付使用前一般不得调整，确需调整的应经委托人同意才可调整，该调整行为视为违约并在下期监理费中扣除1万元违约金，每次调整均扣除1万元违约金，并按规定办理有关手续。</w:t>
      </w:r>
    </w:p>
    <w:p>
      <w:pPr>
        <w:spacing w:line="360" w:lineRule="auto"/>
        <w:ind w:firstLine="540"/>
        <w:rPr>
          <w:rFonts w:hint="eastAsia" w:ascii="黑体" w:hAnsi="黑体" w:eastAsia="黑体" w:cs="黑体"/>
          <w:bCs/>
          <w:color w:val="auto"/>
          <w:sz w:val="22"/>
          <w:szCs w:val="22"/>
        </w:rPr>
      </w:pPr>
      <w:r>
        <w:rPr>
          <w:rFonts w:hint="eastAsia" w:ascii="黑体" w:hAnsi="黑体" w:eastAsia="黑体" w:cs="黑体"/>
          <w:color w:val="auto"/>
          <w:sz w:val="22"/>
          <w:szCs w:val="22"/>
        </w:rPr>
        <w:t>如果发现上述行为之一，委托人有权终止合同，监理人应当返还发包人已付监理报酬并按法律的规定和本合同的约定承担违约责任，由此造成的损失概由监理人承担。 监理人的违约行为给发包人造成重大损失或者情节严重的，将移送司法机关处理。</w:t>
      </w:r>
    </w:p>
    <w:p>
      <w:pPr>
        <w:tabs>
          <w:tab w:val="left" w:pos="-180"/>
        </w:tabs>
        <w:spacing w:before="156" w:beforeLines="50" w:after="156" w:afterLines="50" w:line="240" w:lineRule="auto"/>
        <w:jc w:val="center"/>
        <w:outlineLvl w:val="1"/>
        <w:rPr>
          <w:rFonts w:hint="eastAsia" w:ascii="黑体" w:hAnsi="黑体" w:eastAsia="黑体" w:cs="黑体"/>
          <w:bCs/>
          <w:color w:val="auto"/>
          <w:sz w:val="22"/>
          <w:szCs w:val="22"/>
        </w:rPr>
      </w:pPr>
      <w:bookmarkStart w:id="73" w:name="_Toc511313817"/>
      <w:r>
        <w:rPr>
          <w:rFonts w:hint="eastAsia" w:ascii="黑体" w:hAnsi="黑体" w:eastAsia="黑体" w:cs="黑体"/>
          <w:bCs/>
          <w:color w:val="auto"/>
          <w:sz w:val="22"/>
          <w:szCs w:val="22"/>
        </w:rPr>
        <w:t>争议的解决</w:t>
      </w:r>
      <w:bookmarkEnd w:id="73"/>
    </w:p>
    <w:p>
      <w:pPr>
        <w:spacing w:line="240" w:lineRule="auto"/>
        <w:ind w:left="437" w:firstLine="82" w:firstLineChars="37"/>
        <w:rPr>
          <w:rFonts w:hint="eastAsia" w:ascii="黑体" w:hAnsi="黑体" w:eastAsia="黑体" w:cs="黑体"/>
          <w:color w:val="auto"/>
          <w:sz w:val="22"/>
          <w:szCs w:val="22"/>
        </w:rPr>
      </w:pPr>
      <w:bookmarkStart w:id="74" w:name="_Toc511313818"/>
      <w:r>
        <w:rPr>
          <w:rFonts w:hint="eastAsia" w:ascii="黑体" w:hAnsi="黑体" w:eastAsia="黑体" w:cs="黑体"/>
          <w:b/>
          <w:color w:val="auto"/>
          <w:sz w:val="22"/>
          <w:szCs w:val="22"/>
        </w:rPr>
        <w:t>第四十三条</w:t>
      </w:r>
      <w:r>
        <w:rPr>
          <w:rFonts w:hint="eastAsia" w:ascii="黑体" w:hAnsi="黑体" w:eastAsia="黑体" w:cs="黑体"/>
          <w:color w:val="auto"/>
          <w:sz w:val="22"/>
          <w:szCs w:val="22"/>
        </w:rPr>
        <w:t xml:space="preserve"> 争议调解、起诉机构：</w:t>
      </w:r>
    </w:p>
    <w:p>
      <w:pPr>
        <w:spacing w:line="240" w:lineRule="auto"/>
        <w:ind w:left="437" w:firstLine="81" w:firstLineChars="37"/>
        <w:rPr>
          <w:rFonts w:hint="eastAsia" w:ascii="黑体" w:hAnsi="黑体" w:eastAsia="黑体" w:cs="黑体"/>
          <w:color w:val="auto"/>
          <w:sz w:val="22"/>
          <w:szCs w:val="22"/>
        </w:rPr>
      </w:pPr>
      <w:r>
        <w:rPr>
          <w:rFonts w:hint="eastAsia" w:ascii="黑体" w:hAnsi="黑体" w:eastAsia="黑体" w:cs="黑体"/>
          <w:color w:val="auto"/>
          <w:sz w:val="22"/>
          <w:szCs w:val="22"/>
        </w:rPr>
        <w:t>一、争议调解机构为：</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u w:val="single"/>
          <w:lang w:eastAsia="zh-CN"/>
        </w:rPr>
        <w:t>新兴县</w:t>
      </w:r>
      <w:r>
        <w:rPr>
          <w:rFonts w:hint="eastAsia" w:ascii="黑体" w:hAnsi="黑体" w:eastAsia="黑体" w:cs="黑体"/>
          <w:color w:val="auto"/>
          <w:sz w:val="22"/>
          <w:szCs w:val="22"/>
          <w:u w:val="single"/>
          <w:lang w:val="en-US" w:eastAsia="zh-CN"/>
        </w:rPr>
        <w:t>水务局</w:t>
      </w:r>
      <w:r>
        <w:rPr>
          <w:rFonts w:hint="eastAsia" w:ascii="黑体" w:hAnsi="黑体" w:eastAsia="黑体" w:cs="黑体"/>
          <w:color w:val="auto"/>
          <w:sz w:val="22"/>
          <w:szCs w:val="22"/>
          <w:u w:val="single"/>
        </w:rPr>
        <w:t xml:space="preserve"> </w:t>
      </w:r>
      <w:r>
        <w:rPr>
          <w:rFonts w:hint="eastAsia" w:ascii="黑体" w:hAnsi="黑体" w:eastAsia="黑体" w:cs="黑体"/>
          <w:color w:val="auto"/>
          <w:sz w:val="22"/>
          <w:szCs w:val="22"/>
        </w:rPr>
        <w:t>。</w:t>
      </w:r>
    </w:p>
    <w:p>
      <w:pPr>
        <w:spacing w:line="240" w:lineRule="auto"/>
        <w:ind w:left="437" w:firstLine="81" w:firstLineChars="37"/>
        <w:rPr>
          <w:rFonts w:hint="eastAsia" w:ascii="黑体" w:hAnsi="黑体" w:eastAsia="黑体" w:cs="黑体"/>
          <w:color w:val="auto"/>
          <w:sz w:val="22"/>
          <w:szCs w:val="22"/>
        </w:rPr>
      </w:pPr>
      <w:r>
        <w:rPr>
          <w:rFonts w:hint="eastAsia" w:ascii="黑体" w:hAnsi="黑体" w:eastAsia="黑体" w:cs="黑体"/>
          <w:color w:val="auto"/>
          <w:sz w:val="22"/>
          <w:szCs w:val="22"/>
        </w:rPr>
        <w:t>二、约定的合同争议解决方式：</w:t>
      </w:r>
      <w:r>
        <w:rPr>
          <w:rFonts w:hint="eastAsia" w:ascii="黑体" w:hAnsi="黑体" w:eastAsia="黑体" w:cs="黑体"/>
          <w:color w:val="auto"/>
          <w:sz w:val="22"/>
          <w:szCs w:val="22"/>
          <w:u w:val="single"/>
        </w:rPr>
        <w:t>向新兴县人民法院提起诉讼</w:t>
      </w:r>
      <w:r>
        <w:rPr>
          <w:rFonts w:hint="eastAsia" w:ascii="黑体" w:hAnsi="黑体" w:eastAsia="黑体" w:cs="黑体"/>
          <w:color w:val="auto"/>
          <w:sz w:val="22"/>
          <w:szCs w:val="22"/>
        </w:rPr>
        <w:t>。</w:t>
      </w:r>
    </w:p>
    <w:p>
      <w:pPr>
        <w:tabs>
          <w:tab w:val="left" w:pos="-180"/>
        </w:tabs>
        <w:spacing w:before="156" w:beforeLines="50" w:after="156" w:afterLines="50" w:line="240" w:lineRule="auto"/>
        <w:jc w:val="center"/>
        <w:outlineLvl w:val="1"/>
        <w:rPr>
          <w:rFonts w:hint="eastAsia" w:ascii="黑体" w:hAnsi="黑体" w:eastAsia="黑体" w:cs="黑体"/>
          <w:bCs/>
          <w:color w:val="auto"/>
          <w:sz w:val="22"/>
          <w:szCs w:val="22"/>
        </w:rPr>
      </w:pPr>
      <w:r>
        <w:rPr>
          <w:rFonts w:hint="eastAsia" w:ascii="黑体" w:hAnsi="黑体" w:eastAsia="黑体" w:cs="黑体"/>
          <w:bCs/>
          <w:color w:val="auto"/>
          <w:sz w:val="22"/>
          <w:szCs w:val="22"/>
        </w:rPr>
        <w:t>其  他</w:t>
      </w:r>
      <w:bookmarkEnd w:id="74"/>
    </w:p>
    <w:p>
      <w:pPr>
        <w:autoSpaceDE w:val="0"/>
        <w:autoSpaceDN w:val="0"/>
        <w:adjustRightInd w:val="0"/>
        <w:snapToGrid w:val="0"/>
        <w:spacing w:line="360" w:lineRule="auto"/>
        <w:ind w:firstLine="442" w:firstLineChars="200"/>
        <w:rPr>
          <w:rFonts w:hint="eastAsia" w:ascii="黑体" w:hAnsi="黑体" w:eastAsia="黑体" w:cs="黑体"/>
          <w:color w:val="auto"/>
          <w:kern w:val="0"/>
          <w:sz w:val="22"/>
          <w:szCs w:val="22"/>
        </w:rPr>
      </w:pPr>
      <w:r>
        <w:rPr>
          <w:rFonts w:hint="eastAsia" w:ascii="黑体" w:hAnsi="黑体" w:eastAsia="黑体" w:cs="黑体"/>
          <w:b/>
          <w:color w:val="auto"/>
          <w:sz w:val="22"/>
          <w:szCs w:val="22"/>
        </w:rPr>
        <w:t xml:space="preserve">第四十五条 </w:t>
      </w:r>
      <w:r>
        <w:rPr>
          <w:rFonts w:hint="eastAsia" w:ascii="黑体" w:hAnsi="黑体" w:eastAsia="黑体" w:cs="黑体"/>
          <w:color w:val="auto"/>
          <w:kern w:val="0"/>
          <w:sz w:val="22"/>
          <w:szCs w:val="22"/>
        </w:rPr>
        <w:t>本项目</w:t>
      </w:r>
      <w:r>
        <w:rPr>
          <w:rFonts w:hint="eastAsia" w:ascii="黑体" w:hAnsi="黑体" w:eastAsia="黑体" w:cs="黑体"/>
          <w:bCs/>
          <w:color w:val="auto"/>
          <w:sz w:val="22"/>
          <w:szCs w:val="22"/>
        </w:rPr>
        <w:t>委托人对监理人提出并落实的合理化建议</w:t>
      </w:r>
      <w:r>
        <w:rPr>
          <w:rFonts w:hint="eastAsia" w:ascii="黑体" w:hAnsi="黑体" w:eastAsia="黑体" w:cs="黑体"/>
          <w:color w:val="auto"/>
          <w:kern w:val="0"/>
          <w:sz w:val="22"/>
          <w:szCs w:val="22"/>
        </w:rPr>
        <w:t>无奖励。</w:t>
      </w:r>
    </w:p>
    <w:p>
      <w:pPr>
        <w:pStyle w:val="32"/>
        <w:spacing w:line="600" w:lineRule="exact"/>
        <w:rPr>
          <w:rFonts w:hint="eastAsia" w:ascii="黑体" w:hAnsi="黑体" w:eastAsia="黑体" w:cs="黑体"/>
          <w:sz w:val="22"/>
          <w:szCs w:val="22"/>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附件1</w:t>
      </w:r>
    </w:p>
    <w:p>
      <w:pPr>
        <w:pStyle w:val="34"/>
        <w:spacing w:line="600" w:lineRule="exact"/>
        <w:jc w:val="center"/>
        <w:rPr>
          <w:rFonts w:hint="eastAsia" w:ascii="黑体" w:hAnsi="黑体" w:eastAsia="黑体" w:cs="黑体"/>
          <w:sz w:val="22"/>
          <w:szCs w:val="22"/>
        </w:rPr>
      </w:pPr>
      <w:r>
        <w:rPr>
          <w:rFonts w:hint="eastAsia" w:ascii="黑体" w:hAnsi="黑体" w:eastAsia="黑体" w:cs="黑体"/>
          <w:sz w:val="22"/>
          <w:szCs w:val="22"/>
        </w:rPr>
        <w:t>承诺书（监理）</w:t>
      </w:r>
    </w:p>
    <w:p>
      <w:pPr>
        <w:pStyle w:val="34"/>
        <w:spacing w:line="360" w:lineRule="auto"/>
        <w:ind w:firstLine="640"/>
        <w:jc w:val="left"/>
        <w:rPr>
          <w:rFonts w:hint="eastAsia" w:ascii="黑体" w:hAnsi="黑体" w:eastAsia="黑体" w:cs="黑体"/>
          <w:sz w:val="22"/>
          <w:szCs w:val="22"/>
        </w:rPr>
      </w:pPr>
      <w:r>
        <w:rPr>
          <w:rFonts w:hint="eastAsia" w:ascii="黑体" w:hAnsi="黑体" w:eastAsia="黑体" w:cs="黑体"/>
          <w:sz w:val="22"/>
          <w:szCs w:val="22"/>
        </w:rPr>
        <w:t>我单位中标承接发包方（新兴县水利工程建设管理中心）  工作，我代表单位自愿签署此承诺书，保证严格遵守以下承诺。如有违反，我单位将完全承担因违反上述承诺事项造成的一切经济损失和法律后果，且不提出与承诺无关的异议。本承诺书自签署之日起生效。</w:t>
      </w:r>
    </w:p>
    <w:p>
      <w:pPr>
        <w:pStyle w:val="34"/>
        <w:spacing w:line="360" w:lineRule="auto"/>
        <w:jc w:val="left"/>
        <w:rPr>
          <w:rFonts w:hint="eastAsia" w:ascii="黑体" w:hAnsi="黑体" w:eastAsia="黑体" w:cs="黑体"/>
          <w:sz w:val="22"/>
          <w:szCs w:val="22"/>
        </w:rPr>
      </w:pPr>
      <w:r>
        <w:rPr>
          <w:rFonts w:hint="eastAsia" w:ascii="黑体" w:hAnsi="黑体" w:eastAsia="黑体" w:cs="黑体"/>
          <w:sz w:val="22"/>
          <w:szCs w:val="22"/>
        </w:rPr>
        <w:t xml:space="preserve">    1.严格履行与甲方签订的合同，保证按合同工期完工，做到不违法分包发包项目；</w:t>
      </w:r>
    </w:p>
    <w:p>
      <w:pPr>
        <w:pStyle w:val="34"/>
        <w:spacing w:line="360" w:lineRule="auto"/>
        <w:jc w:val="left"/>
        <w:rPr>
          <w:rFonts w:hint="eastAsia" w:ascii="黑体" w:hAnsi="黑体" w:eastAsia="黑体" w:cs="黑体"/>
          <w:sz w:val="22"/>
          <w:szCs w:val="22"/>
        </w:rPr>
      </w:pPr>
      <w:r>
        <w:rPr>
          <w:rFonts w:hint="eastAsia" w:ascii="黑体" w:hAnsi="黑体" w:eastAsia="黑体" w:cs="黑体"/>
          <w:sz w:val="22"/>
          <w:szCs w:val="22"/>
        </w:rPr>
        <w:t xml:space="preserve">    2.严格落实监理单位安全生产主体责任，保证监理工作不发生安全生产事故，并愿承担一切事故后果；督促施工单位落实安全生产责任和安全生产工作，确保不发生安全生产事故。</w:t>
      </w:r>
    </w:p>
    <w:p>
      <w:pPr>
        <w:pStyle w:val="34"/>
        <w:spacing w:line="36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3.坚决做好廉政建设，杜绝各种谋取不正当利益的违法违纪行为的发生，保障工程顺利推进（另附专项承诺书）；</w:t>
      </w:r>
    </w:p>
    <w:p>
      <w:pPr>
        <w:pStyle w:val="34"/>
        <w:spacing w:line="360" w:lineRule="auto"/>
        <w:ind w:firstLine="640"/>
        <w:jc w:val="left"/>
        <w:rPr>
          <w:rFonts w:hint="eastAsia" w:ascii="黑体" w:hAnsi="黑体" w:eastAsia="黑体" w:cs="黑体"/>
          <w:sz w:val="22"/>
          <w:szCs w:val="22"/>
        </w:rPr>
      </w:pPr>
      <w:r>
        <w:rPr>
          <w:rFonts w:hint="eastAsia" w:ascii="黑体" w:hAnsi="黑体" w:eastAsia="黑体" w:cs="黑体"/>
          <w:sz w:val="22"/>
          <w:szCs w:val="22"/>
        </w:rPr>
        <w:t>4.积极参与项目管理及验收工作，按规范及设计图纸要求高质量质完成建设任务，保证不发生质量事故；</w:t>
      </w:r>
    </w:p>
    <w:p>
      <w:pPr>
        <w:pStyle w:val="34"/>
        <w:spacing w:line="360" w:lineRule="auto"/>
        <w:ind w:firstLine="640"/>
        <w:jc w:val="left"/>
        <w:rPr>
          <w:rFonts w:hint="eastAsia" w:ascii="黑体" w:hAnsi="黑体" w:eastAsia="黑体" w:cs="黑体"/>
          <w:sz w:val="22"/>
          <w:szCs w:val="22"/>
        </w:rPr>
      </w:pPr>
      <w:r>
        <w:rPr>
          <w:rFonts w:hint="eastAsia" w:ascii="黑体" w:hAnsi="黑体" w:eastAsia="黑体" w:cs="黑体"/>
          <w:sz w:val="22"/>
          <w:szCs w:val="22"/>
        </w:rPr>
        <w:t>5.积极配合施工过程中出现的变更，确保不因变更导致工期延长及出现质量问题；</w:t>
      </w:r>
    </w:p>
    <w:p>
      <w:pPr>
        <w:pStyle w:val="34"/>
        <w:spacing w:line="360" w:lineRule="auto"/>
        <w:ind w:firstLine="640"/>
        <w:jc w:val="left"/>
        <w:rPr>
          <w:rFonts w:hint="eastAsia" w:ascii="黑体" w:hAnsi="黑体" w:eastAsia="黑体" w:cs="黑体"/>
          <w:sz w:val="22"/>
          <w:szCs w:val="22"/>
        </w:rPr>
      </w:pPr>
      <w:r>
        <w:rPr>
          <w:rFonts w:hint="eastAsia" w:ascii="黑体" w:hAnsi="黑体" w:eastAsia="黑体" w:cs="黑体"/>
          <w:sz w:val="22"/>
          <w:szCs w:val="22"/>
        </w:rPr>
        <w:t>6.积极配合甲方开展各项检查（迎检）工作，确保项目顺利通过各级检查和验收；</w:t>
      </w:r>
    </w:p>
    <w:p>
      <w:pPr>
        <w:pStyle w:val="34"/>
        <w:spacing w:line="360" w:lineRule="auto"/>
        <w:ind w:firstLine="640"/>
        <w:jc w:val="left"/>
        <w:rPr>
          <w:rFonts w:hint="eastAsia" w:ascii="黑体" w:hAnsi="黑体" w:eastAsia="黑体" w:cs="黑体"/>
          <w:sz w:val="22"/>
          <w:szCs w:val="22"/>
        </w:rPr>
      </w:pPr>
      <w:r>
        <w:rPr>
          <w:rFonts w:hint="eastAsia" w:ascii="黑体" w:hAnsi="黑体" w:eastAsia="黑体" w:cs="黑体"/>
          <w:sz w:val="22"/>
          <w:szCs w:val="22"/>
        </w:rPr>
        <w:t>7.支持和配合水行政主管部门作好项目评估（价）工作。</w:t>
      </w:r>
    </w:p>
    <w:p>
      <w:pPr>
        <w:pStyle w:val="41"/>
        <w:widowControl/>
        <w:shd w:val="clear" w:color="auto" w:fill="FFFFFF"/>
        <w:spacing w:before="255" w:beforeAutospacing="0" w:after="255" w:afterAutospacing="0" w:line="420" w:lineRule="atLeast"/>
        <w:rPr>
          <w:rFonts w:hint="eastAsia" w:ascii="黑体" w:hAnsi="黑体" w:eastAsia="黑体" w:cs="黑体"/>
          <w:kern w:val="2"/>
          <w:sz w:val="22"/>
          <w:szCs w:val="22"/>
        </w:rPr>
      </w:pPr>
      <w:r>
        <w:rPr>
          <w:rFonts w:hint="eastAsia" w:ascii="黑体" w:hAnsi="黑体" w:eastAsia="黑体" w:cs="黑体"/>
          <w:kern w:val="2"/>
          <w:sz w:val="22"/>
          <w:szCs w:val="22"/>
        </w:rPr>
        <w:t>承诺单位：</w:t>
      </w:r>
      <w:r>
        <w:rPr>
          <w:rFonts w:hint="eastAsia" w:ascii="黑体" w:hAnsi="黑体" w:eastAsia="黑体" w:cs="黑体"/>
          <w:kern w:val="2"/>
          <w:sz w:val="22"/>
          <w:szCs w:val="22"/>
          <w:u w:val="single"/>
        </w:rPr>
        <w:t xml:space="preserve">                                </w:t>
      </w:r>
      <w:r>
        <w:rPr>
          <w:rFonts w:hint="eastAsia" w:ascii="黑体" w:hAnsi="黑体" w:eastAsia="黑体" w:cs="黑体"/>
          <w:kern w:val="2"/>
          <w:sz w:val="22"/>
          <w:szCs w:val="22"/>
        </w:rPr>
        <w:t xml:space="preserve">                                </w:t>
      </w:r>
    </w:p>
    <w:p>
      <w:pPr>
        <w:pStyle w:val="41"/>
        <w:widowControl/>
        <w:shd w:val="clear" w:color="auto" w:fill="FFFFFF"/>
        <w:spacing w:before="255" w:beforeAutospacing="0" w:after="255" w:afterAutospacing="0" w:line="420" w:lineRule="atLeast"/>
        <w:rPr>
          <w:rFonts w:hint="eastAsia" w:ascii="黑体" w:hAnsi="黑体" w:eastAsia="黑体" w:cs="黑体"/>
          <w:kern w:val="2"/>
          <w:sz w:val="22"/>
          <w:szCs w:val="22"/>
        </w:rPr>
      </w:pPr>
      <w:r>
        <w:rPr>
          <w:rFonts w:hint="eastAsia" w:ascii="黑体" w:hAnsi="黑体" w:eastAsia="黑体" w:cs="黑体"/>
          <w:kern w:val="2"/>
          <w:sz w:val="22"/>
          <w:szCs w:val="22"/>
        </w:rPr>
        <w:t>承诺人（法人签名）： ___________________</w:t>
      </w:r>
    </w:p>
    <w:p>
      <w:pPr>
        <w:pStyle w:val="41"/>
        <w:widowControl/>
        <w:shd w:val="clear" w:color="auto" w:fill="FFFFFF"/>
        <w:spacing w:before="255" w:beforeAutospacing="0" w:after="255" w:afterAutospacing="0" w:line="420" w:lineRule="atLeast"/>
        <w:rPr>
          <w:rFonts w:hint="eastAsia" w:ascii="黑体" w:hAnsi="黑体" w:eastAsia="黑体" w:cs="黑体"/>
          <w:kern w:val="2"/>
          <w:sz w:val="22"/>
          <w:szCs w:val="22"/>
        </w:rPr>
      </w:pPr>
      <w:r>
        <w:rPr>
          <w:rFonts w:hint="eastAsia" w:ascii="黑体" w:hAnsi="黑体" w:eastAsia="黑体" w:cs="黑体"/>
          <w:kern w:val="2"/>
          <w:sz w:val="22"/>
          <w:szCs w:val="22"/>
        </w:rPr>
        <w:t>签署日期：______年______月____日</w:t>
      </w:r>
    </w:p>
    <w:p>
      <w:pPr>
        <w:pStyle w:val="40"/>
        <w:rPr>
          <w:rFonts w:hint="eastAsia" w:ascii="黑体" w:hAnsi="黑体" w:eastAsia="黑体" w:cs="黑体"/>
          <w:color w:val="auto"/>
          <w:sz w:val="22"/>
          <w:szCs w:val="22"/>
        </w:rPr>
      </w:pPr>
    </w:p>
    <w:p>
      <w:pPr>
        <w:tabs>
          <w:tab w:val="right" w:pos="9750"/>
        </w:tabs>
        <w:bidi w:val="0"/>
        <w:jc w:val="left"/>
        <w:rPr>
          <w:rFonts w:hint="eastAsia" w:eastAsia="宋体"/>
          <w:lang w:eastAsia="zh-CN"/>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附件2</w:t>
      </w:r>
    </w:p>
    <w:p>
      <w:pPr>
        <w:pStyle w:val="42"/>
        <w:jc w:val="center"/>
        <w:rPr>
          <w:rFonts w:hint="eastAsia" w:ascii="黑体" w:hAnsi="黑体" w:eastAsia="黑体" w:cs="黑体"/>
          <w:b/>
          <w:bCs/>
          <w:sz w:val="22"/>
          <w:szCs w:val="22"/>
        </w:rPr>
      </w:pPr>
      <w:r>
        <w:rPr>
          <w:rFonts w:hint="eastAsia" w:ascii="黑体" w:hAnsi="黑体" w:eastAsia="黑体" w:cs="黑体"/>
          <w:b/>
          <w:bCs/>
          <w:sz w:val="22"/>
          <w:szCs w:val="22"/>
        </w:rPr>
        <w:t>新兴县水利工程廉政承诺书</w:t>
      </w:r>
    </w:p>
    <w:p>
      <w:pPr>
        <w:pStyle w:val="42"/>
        <w:rPr>
          <w:rFonts w:hint="eastAsia" w:ascii="黑体" w:hAnsi="黑体" w:eastAsia="黑体" w:cs="黑体"/>
          <w:sz w:val="22"/>
          <w:szCs w:val="22"/>
        </w:rPr>
      </w:pPr>
    </w:p>
    <w:p>
      <w:pPr>
        <w:pStyle w:val="42"/>
        <w:spacing w:line="400" w:lineRule="exact"/>
        <w:rPr>
          <w:rFonts w:hint="eastAsia" w:ascii="黑体" w:hAnsi="黑体" w:eastAsia="黑体" w:cs="黑体"/>
          <w:sz w:val="22"/>
          <w:szCs w:val="22"/>
        </w:rPr>
      </w:pPr>
      <w:r>
        <w:rPr>
          <w:rFonts w:hint="eastAsia" w:ascii="黑体" w:hAnsi="黑体" w:eastAsia="黑体" w:cs="黑体"/>
          <w:sz w:val="22"/>
          <w:szCs w:val="22"/>
        </w:rPr>
        <w:t>甲方：</w:t>
      </w:r>
      <w:r>
        <w:rPr>
          <w:rFonts w:hint="eastAsia" w:ascii="黑体" w:hAnsi="黑体" w:eastAsia="黑体" w:cs="黑体"/>
          <w:sz w:val="22"/>
          <w:szCs w:val="22"/>
          <w:u w:val="single"/>
        </w:rPr>
        <w:t xml:space="preserve">新兴县水利工程建设管理中心        </w:t>
      </w:r>
      <w:r>
        <w:rPr>
          <w:rFonts w:hint="eastAsia" w:ascii="黑体" w:hAnsi="黑体" w:eastAsia="黑体" w:cs="黑体"/>
          <w:sz w:val="22"/>
          <w:szCs w:val="22"/>
        </w:rPr>
        <w:t xml:space="preserve">                      </w:t>
      </w:r>
    </w:p>
    <w:p>
      <w:pPr>
        <w:pStyle w:val="42"/>
        <w:rPr>
          <w:rFonts w:hint="eastAsia" w:ascii="黑体" w:hAnsi="黑体" w:eastAsia="黑体" w:cs="黑体"/>
          <w:sz w:val="22"/>
          <w:szCs w:val="22"/>
        </w:rPr>
      </w:pPr>
      <w:r>
        <w:rPr>
          <w:rFonts w:hint="eastAsia" w:ascii="黑体" w:hAnsi="黑体" w:eastAsia="黑体" w:cs="黑体"/>
          <w:sz w:val="22"/>
          <w:szCs w:val="22"/>
        </w:rPr>
        <w:t>乙方：</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pPr>
        <w:pStyle w:val="42"/>
        <w:rPr>
          <w:rFonts w:hint="eastAsia" w:ascii="黑体" w:hAnsi="黑体" w:eastAsia="黑体" w:cs="黑体"/>
          <w:sz w:val="22"/>
          <w:szCs w:val="22"/>
        </w:rPr>
      </w:pPr>
      <w:r>
        <w:rPr>
          <w:rFonts w:hint="eastAsia" w:ascii="黑体" w:hAnsi="黑体" w:eastAsia="黑体" w:cs="黑体"/>
          <w:sz w:val="22"/>
          <w:szCs w:val="22"/>
          <w:highlight w:val="none"/>
        </w:rPr>
        <w:t>监督(见证)方:</w:t>
      </w:r>
      <w:r>
        <w:rPr>
          <w:rFonts w:hint="eastAsia" w:ascii="黑体" w:hAnsi="黑体" w:eastAsia="黑体" w:cs="黑体"/>
          <w:sz w:val="22"/>
          <w:szCs w:val="22"/>
          <w:highlight w:val="none"/>
          <w:u w:val="single"/>
          <w:lang w:eastAsia="zh-CN"/>
        </w:rPr>
        <w:t>新兴县</w:t>
      </w:r>
      <w:r>
        <w:rPr>
          <w:rFonts w:hint="eastAsia" w:ascii="黑体" w:hAnsi="黑体" w:eastAsia="黑体" w:cs="黑体"/>
          <w:sz w:val="22"/>
          <w:szCs w:val="22"/>
          <w:highlight w:val="none"/>
          <w:u w:val="single"/>
          <w:lang w:val="en-US" w:eastAsia="zh-CN"/>
        </w:rPr>
        <w:t>水务局</w:t>
      </w:r>
      <w:r>
        <w:rPr>
          <w:rFonts w:hint="eastAsia" w:ascii="黑体" w:hAnsi="黑体" w:eastAsia="黑体" w:cs="黑体"/>
          <w:sz w:val="22"/>
          <w:szCs w:val="22"/>
          <w:highlight w:val="none"/>
          <w:u w:val="single"/>
        </w:rPr>
        <w:t xml:space="preserve">     </w:t>
      </w:r>
      <w:r>
        <w:rPr>
          <w:rFonts w:hint="eastAsia" w:ascii="黑体" w:hAnsi="黑体" w:eastAsia="黑体" w:cs="黑体"/>
          <w:sz w:val="22"/>
          <w:szCs w:val="22"/>
          <w:u w:val="single"/>
        </w:rPr>
        <w:t xml:space="preserve">                 </w:t>
      </w:r>
      <w:r>
        <w:rPr>
          <w:rFonts w:hint="eastAsia" w:ascii="黑体" w:hAnsi="黑体" w:eastAsia="黑体" w:cs="黑体"/>
          <w:sz w:val="22"/>
          <w:szCs w:val="22"/>
        </w:rPr>
        <w:t xml:space="preserve">   </w:t>
      </w:r>
    </w:p>
    <w:p>
      <w:pPr>
        <w:pStyle w:val="42"/>
        <w:spacing w:line="400" w:lineRule="exact"/>
        <w:ind w:firstLine="440" w:firstLineChars="200"/>
        <w:rPr>
          <w:rFonts w:hint="eastAsia" w:ascii="黑体" w:hAnsi="黑体" w:eastAsia="黑体" w:cs="黑体"/>
          <w:sz w:val="22"/>
          <w:szCs w:val="22"/>
        </w:rPr>
      </w:pP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为加强我县水利工程建设项目监理的廉政建设，切实做好项目廉政风险防控工作，预防各种谋取不正当利益的违法违纪行为的发生，维护国家、集体和个人的合法权益，确保工程安全、资金安全、干部安全和生产安全，保障治理工程顺利推进，根据国家有关法律法规和廉政建设责任制规定，特订立本廉政承诺书。</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第一条：甲乙双方共同责任</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（一）严格遵守国家、行业关于建设市场准入、项目招标投标及工程监理等有关法律、法规、相关政策及廉政建设的各项规定。</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（二）严格执行《合同法》及监理承包合同文件，自觉按合同办事。</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三）坚持公开、公平、公正、诚信、透明的原则（除法律法规另有规定的除外）开展业务，不得为获取不正当的利益，损害国家、集体和对方利益，不得违反工程建设管理、施工安装、资金管理等有关规章制度。</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（四）发现对方在业务活动中有违规、违纪、违法行为的，应及时提醒对方，情节严重的，应向其上级业务主管（监督）部门或纪检监察、司法等有关机关举报。</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第二条：甲方的责任</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甲方的领导和负责治理项目的经办人员，在工程建设的事前、事中、事后应遵守以下规定：</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一）向乙方告知本单位有关工程建设廉政管理的制度和规定；与乙方人员保持正常的业务交往；严禁与乙方串通，弄虚作假，骗取工程资金等；及时将治理工程建设有关信息上网公示、现场公示，接受社会监督。</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（二）不插手工程建设，不指定分包或合作单位；不准配偶、子女、亲属和特定关系人参与同承包合同有关的监理经济活动。</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（三）不接受乙方贿送的任何礼品、礼金、消费卡和有价证券等, 不在乙方报销任何费用, 不向乙方索要任何物品，不参加有可能影响公正执行公务的乙方宴请、旅游和娱乐等活动。</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四）定期或不定期组织对承包合同规定的工程建设进度、质量、预支工程款及资金使用管理等情况进行监督检查，并按照水利建设市场监管的有关规定和要求对督查过程中发现的乙方的不良行为及时登记、上报及公开。</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第三条：乙方的责任</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严格按照工程建设有关法律法规、技术规范和程序开展业务工作，严格执行建设项目廉政管理有关规定：</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（一）遵守甲方有关工程建设项目廉政管理的制度和规定，服从甲方及建设单位的管理，积极配合甲方及建设单位做好有关工作，工作中与甲方人员保持正常的业务交往。</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（二）不以任何理由向甲方及其工作人员贿送任何礼品、礼金、消费卡和有价证券等，不为甲方报销任何费用,不组织甲方参加有可能影响公正执行公务的宴请、旅游和娱乐等活动。</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三）监理单位应但选派具备相应资格的总监理工程师和监理工程师进驻施工现场。不将合同工程进行转包，不得与建设单位或者施工企业串通，弄虚作假，降低工程质量，不为报大建小、偷工减料和虚报工程量等套取建设资金的行为提供任何帮助。</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（四）自觉接受甲方组织的对承包合同规定的工程建设情况的监督检查，针对发现的问题，认真、及时组织整改，并确保整改到位。</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第四条：责任追究</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（一）甲方工作人员有违反本承诺书责任行为的，按照管理权限，依据有关法律法规和规定给予党纪、政纪处分或组织处理；涉嫌犯罪的，移交司法机关追究刑事责任；给乙方造成经济损失的，应予以赔偿。</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（二）乙方工作人员有违反本承诺书责任行为的，按照有关规定进行处理；涉嫌犯罪的，移交司法机关追究刑事责任；给国家造成经济损失的，应予以赔偿。</w:t>
      </w:r>
    </w:p>
    <w:p>
      <w:pPr>
        <w:pStyle w:val="42"/>
        <w:spacing w:line="44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第五条：本承诺书作为工程监理承包合同的附件，由甲、乙双方法定代表人和监督（见证）方负责人三方共同签署并加盖单位公章后生效，工程完工验收后失效。</w:t>
      </w:r>
    </w:p>
    <w:p>
      <w:pPr>
        <w:pStyle w:val="42"/>
        <w:spacing w:line="400" w:lineRule="exact"/>
        <w:rPr>
          <w:rFonts w:hint="eastAsia" w:ascii="黑体" w:hAnsi="黑体" w:eastAsia="黑体" w:cs="黑体"/>
          <w:sz w:val="22"/>
          <w:szCs w:val="22"/>
        </w:rPr>
      </w:pP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甲方单位（盖章）                   乙方单位（盖章）</w:t>
      </w: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甲方法定代表人签字：               乙方法定代表人签字：</w:t>
      </w: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 xml:space="preserve">年    月    日                     年    月    日   </w:t>
      </w:r>
    </w:p>
    <w:p>
      <w:pPr>
        <w:pStyle w:val="42"/>
        <w:rPr>
          <w:rFonts w:hint="eastAsia" w:ascii="黑体" w:hAnsi="黑体" w:eastAsia="黑体" w:cs="黑体"/>
          <w:sz w:val="22"/>
          <w:szCs w:val="22"/>
        </w:rPr>
      </w:pPr>
      <w:r>
        <w:rPr>
          <w:rFonts w:hint="eastAsia" w:ascii="黑体" w:hAnsi="黑体" w:eastAsia="黑体" w:cs="黑体"/>
          <w:sz w:val="22"/>
          <w:szCs w:val="22"/>
        </w:rPr>
        <w:t xml:space="preserve"> </w:t>
      </w: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 xml:space="preserve">监督（见证）方单位（盖章）                   </w:t>
      </w: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 xml:space="preserve">监督（见证）方负责人签字：                     </w:t>
      </w:r>
    </w:p>
    <w:p>
      <w:pPr>
        <w:pStyle w:val="42"/>
        <w:rPr>
          <w:rFonts w:hint="eastAsia" w:ascii="黑体" w:hAnsi="黑体" w:eastAsia="黑体" w:cs="黑体"/>
          <w:sz w:val="22"/>
          <w:szCs w:val="22"/>
        </w:rPr>
      </w:pPr>
    </w:p>
    <w:p>
      <w:pPr>
        <w:pStyle w:val="42"/>
        <w:rPr>
          <w:rFonts w:hint="eastAsia" w:ascii="黑体" w:hAnsi="黑体" w:eastAsia="黑体" w:cs="黑体"/>
          <w:sz w:val="22"/>
          <w:szCs w:val="22"/>
        </w:rPr>
      </w:pPr>
      <w:r>
        <w:rPr>
          <w:rFonts w:hint="eastAsia" w:ascii="黑体" w:hAnsi="黑体" w:eastAsia="黑体" w:cs="黑体"/>
          <w:sz w:val="22"/>
          <w:szCs w:val="22"/>
        </w:rPr>
        <w:t xml:space="preserve">年    月    日         </w:t>
      </w: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附件3</w:t>
      </w:r>
    </w:p>
    <w:p>
      <w:pPr>
        <w:pStyle w:val="32"/>
        <w:spacing w:line="600" w:lineRule="exact"/>
        <w:jc w:val="center"/>
        <w:rPr>
          <w:rFonts w:hint="eastAsia" w:ascii="黑体" w:hAnsi="黑体" w:eastAsia="黑体" w:cs="黑体"/>
          <w:sz w:val="22"/>
          <w:szCs w:val="22"/>
        </w:rPr>
      </w:pPr>
      <w:r>
        <w:rPr>
          <w:rFonts w:hint="eastAsia" w:ascii="黑体" w:hAnsi="黑体" w:eastAsia="黑体" w:cs="黑体"/>
          <w:sz w:val="22"/>
          <w:szCs w:val="22"/>
        </w:rPr>
        <w:t>安全生产主体责任承诺书</w:t>
      </w:r>
    </w:p>
    <w:p>
      <w:pPr>
        <w:pStyle w:val="32"/>
        <w:spacing w:line="600" w:lineRule="exact"/>
        <w:ind w:firstLine="440" w:firstLineChars="200"/>
        <w:rPr>
          <w:rFonts w:hint="eastAsia" w:ascii="黑体" w:hAnsi="黑体" w:eastAsia="黑体" w:cs="黑体"/>
          <w:sz w:val="22"/>
          <w:szCs w:val="22"/>
        </w:rPr>
      </w:pP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为切实履行安全生产主体责任，防止和减少生产安全事故发生，</w:t>
      </w:r>
      <w:r>
        <w:rPr>
          <w:rFonts w:hint="eastAsia" w:ascii="黑体" w:hAnsi="黑体" w:eastAsia="黑体" w:cs="黑体"/>
          <w:sz w:val="22"/>
          <w:szCs w:val="22"/>
          <w:u w:val="single"/>
        </w:rPr>
        <w:t>（</w:t>
      </w:r>
      <w:r>
        <w:rPr>
          <w:rFonts w:hint="eastAsia" w:ascii="黑体" w:hAnsi="黑体" w:eastAsia="黑体" w:cs="黑体"/>
          <w:b/>
          <w:bCs/>
          <w:sz w:val="22"/>
          <w:szCs w:val="22"/>
          <w:u w:val="single"/>
        </w:rPr>
        <w:t>注：填写生产经营单位名称全称</w:t>
      </w:r>
      <w:r>
        <w:rPr>
          <w:rFonts w:hint="eastAsia" w:ascii="黑体" w:hAnsi="黑体" w:eastAsia="黑体" w:cs="黑体"/>
          <w:sz w:val="22"/>
          <w:szCs w:val="22"/>
          <w:u w:val="single"/>
        </w:rPr>
        <w:t>）</w:t>
      </w:r>
      <w:r>
        <w:rPr>
          <w:rFonts w:hint="eastAsia" w:ascii="黑体" w:hAnsi="黑体" w:eastAsia="黑体" w:cs="黑体"/>
          <w:sz w:val="22"/>
          <w:szCs w:val="22"/>
        </w:rPr>
        <w:t>现向本单位从业人员和社会郑重承诺：</w:t>
      </w:r>
    </w:p>
    <w:p>
      <w:pPr>
        <w:pStyle w:val="32"/>
        <w:numPr>
          <w:ilvl w:val="0"/>
          <w:numId w:val="40"/>
        </w:numPr>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建立、完善和落实全员安全生产责任制和安全管理制度。企业主要负责人定期听取安全生产工作报告、研究安全生产问题、至少每半年组织一次安全生产全面检查。</w:t>
      </w:r>
    </w:p>
    <w:p>
      <w:pPr>
        <w:pStyle w:val="32"/>
        <w:numPr>
          <w:ilvl w:val="0"/>
          <w:numId w:val="40"/>
        </w:numPr>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依法配置安全生产管理机构和人员，切实保障以上机构和人员履行安全管理职责。</w:t>
      </w:r>
    </w:p>
    <w:p>
      <w:pPr>
        <w:pStyle w:val="32"/>
        <w:numPr>
          <w:ilvl w:val="0"/>
          <w:numId w:val="40"/>
        </w:numPr>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依法保证安全生产资金投入，依法提取和使用安全生产费用，不挤占、不挪用；按规定购买安全生产责任保险。</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四、落实全员安全生产培训制度，明确告知从业人员岗位危险因素、防范措施和应急措施，保证安全培训不合格者不得上岗、未持证者不得从事特种作业。</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五、依法为从业人员提供劳动防护用品并教育从业人员正确佩带；及时纠正违章操作行为，坚决杜绝违章指挥和强令违章冒险作业。</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六、切实加强对</w:t>
      </w:r>
      <w:r>
        <w:rPr>
          <w:rFonts w:hint="eastAsia" w:ascii="黑体" w:hAnsi="黑体" w:eastAsia="黑体" w:cs="黑体"/>
          <w:sz w:val="22"/>
          <w:szCs w:val="22"/>
          <w:u w:val="single"/>
        </w:rPr>
        <w:t>（</w:t>
      </w:r>
      <w:r>
        <w:rPr>
          <w:rFonts w:hint="eastAsia" w:ascii="黑体" w:hAnsi="黑体" w:eastAsia="黑体" w:cs="黑体"/>
          <w:b/>
          <w:bCs/>
          <w:sz w:val="22"/>
          <w:szCs w:val="22"/>
          <w:u w:val="single"/>
        </w:rPr>
        <w:t>注：根据企业特点列举、补充危险作业，</w:t>
      </w:r>
      <w:r>
        <w:rPr>
          <w:rFonts w:hint="eastAsia" w:ascii="黑体" w:hAnsi="黑体" w:eastAsia="黑体" w:cs="黑体"/>
          <w:sz w:val="22"/>
          <w:szCs w:val="22"/>
          <w:u w:val="single"/>
        </w:rPr>
        <w:t>如涉气、爆破、吊装、高空悬挂、有限空间）</w:t>
      </w:r>
      <w:r>
        <w:rPr>
          <w:rFonts w:hint="eastAsia" w:ascii="黑体" w:hAnsi="黑体" w:eastAsia="黑体" w:cs="黑体"/>
          <w:sz w:val="22"/>
          <w:szCs w:val="22"/>
        </w:rPr>
        <w:t>等危险作业的安全管理。每半年至少开展一次风险点危险源排查，全面识别安全风险，有效落实管控措施。定期开展事故隐患排查，及时消除隐患，按规定向当地安全监管部门报告重大事故隐患排查治理情况。</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七、严格落实建设项目安全设施“三同时”，做好安全警示和安全设备日常维护，不使用淘汰的或明令禁止的工艺、设备和材料。</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八、严格依照许可范围从事矿山生产、危险化学品生产经营使用、烟花爆竹经营等活动，严禁非法违法生产经营。</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九、组织制定并实施本单位生产安全事故应急救援预案，按规定建立应急管理队伍，储备必要应急物资，每年至少组织一次事故应急救援演练。如发生生产安全事故，保证及时、如实报告当地安全监管部门。</w:t>
      </w:r>
    </w:p>
    <w:p>
      <w:pPr>
        <w:pStyle w:val="32"/>
        <w:spacing w:line="600" w:lineRule="exact"/>
        <w:ind w:firstLine="440" w:firstLineChars="200"/>
        <w:rPr>
          <w:rFonts w:hint="eastAsia" w:ascii="黑体" w:hAnsi="黑体" w:eastAsia="黑体" w:cs="黑体"/>
          <w:sz w:val="22"/>
          <w:szCs w:val="22"/>
        </w:rPr>
      </w:pPr>
      <w:r>
        <w:rPr>
          <w:rFonts w:hint="eastAsia" w:ascii="黑体" w:hAnsi="黑体" w:eastAsia="黑体" w:cs="黑体"/>
          <w:sz w:val="22"/>
          <w:szCs w:val="22"/>
        </w:rPr>
        <w:t>我单位将严格遵守《中华人民共和国安全生产法》和《广东省安全生产条例》等国家及省有关安全生产法律、法规和标准规定，认真履行承诺，依法建设施工和生产经营，积极配合安全监管部门的监督检查，自觉维护从业人员和公众权益，接受社会监督。如有违反，我单位愿意承担相应法律责任。</w:t>
      </w:r>
    </w:p>
    <w:p>
      <w:pPr>
        <w:pStyle w:val="32"/>
        <w:spacing w:line="600" w:lineRule="exact"/>
        <w:ind w:firstLine="440" w:firstLineChars="200"/>
        <w:rPr>
          <w:rFonts w:hint="eastAsia" w:ascii="黑体" w:hAnsi="黑体" w:eastAsia="黑体" w:cs="黑体"/>
          <w:sz w:val="22"/>
          <w:szCs w:val="22"/>
        </w:rPr>
      </w:pPr>
    </w:p>
    <w:p>
      <w:pPr>
        <w:pStyle w:val="32"/>
        <w:spacing w:line="600" w:lineRule="exact"/>
        <w:ind w:firstLine="440" w:firstLineChars="200"/>
        <w:rPr>
          <w:rFonts w:hint="eastAsia" w:ascii="黑体" w:hAnsi="黑体" w:eastAsia="黑体" w:cs="黑体"/>
          <w:sz w:val="22"/>
          <w:szCs w:val="22"/>
        </w:rPr>
      </w:pP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承诺企业（盖章）：</w:t>
      </w: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法定代表人（签字）：</w:t>
      </w:r>
    </w:p>
    <w:p>
      <w:pPr>
        <w:pStyle w:val="32"/>
        <w:spacing w:line="600" w:lineRule="exact"/>
        <w:rPr>
          <w:rFonts w:hint="eastAsia" w:ascii="黑体" w:hAnsi="黑体" w:eastAsia="黑体" w:cs="黑体"/>
          <w:sz w:val="22"/>
          <w:szCs w:val="22"/>
        </w:rPr>
      </w:pPr>
      <w:r>
        <w:rPr>
          <w:rFonts w:hint="eastAsia" w:ascii="黑体" w:hAnsi="黑体" w:eastAsia="黑体" w:cs="黑体"/>
          <w:sz w:val="22"/>
          <w:szCs w:val="22"/>
        </w:rPr>
        <w:t xml:space="preserve">         年   月   日 </w:t>
      </w:r>
    </w:p>
    <w:p>
      <w:pPr>
        <w:pStyle w:val="27"/>
        <w:numPr>
          <w:ilvl w:val="0"/>
          <w:numId w:val="41"/>
        </w:numPr>
        <w:spacing w:before="312" w:beforeLines="100" w:line="360" w:lineRule="auto"/>
        <w:ind w:firstLineChars="0"/>
        <w:rPr>
          <w:rFonts w:ascii="黑体" w:hAnsi="黑体" w:eastAsia="黑体"/>
          <w:b/>
          <w:spacing w:val="20"/>
          <w:szCs w:val="21"/>
        </w:rPr>
      </w:pPr>
      <w:r>
        <w:rPr>
          <w:rFonts w:hint="eastAsia" w:ascii="黑体" w:hAnsi="黑体" w:eastAsia="黑体"/>
          <w:b/>
          <w:spacing w:val="20"/>
          <w:szCs w:val="21"/>
        </w:rPr>
        <w:t>备注：</w:t>
      </w:r>
    </w:p>
    <w:p>
      <w:pPr>
        <w:pStyle w:val="27"/>
        <w:numPr>
          <w:ilvl w:val="0"/>
          <w:numId w:val="42"/>
        </w:numPr>
        <w:spacing w:line="360" w:lineRule="auto"/>
        <w:ind w:firstLineChars="0"/>
        <w:rPr>
          <w:rFonts w:ascii="黑体" w:hAnsi="黑体" w:eastAsia="黑体"/>
          <w:szCs w:val="21"/>
        </w:rPr>
      </w:pPr>
      <w:r>
        <w:rPr>
          <w:rFonts w:hint="eastAsia" w:ascii="黑体" w:hAnsi="黑体" w:eastAsia="黑体"/>
          <w:szCs w:val="21"/>
        </w:rPr>
        <w:t>本合同所有附件均在签订合同时编制，其编制依据是</w:t>
      </w:r>
      <w:r>
        <w:rPr>
          <w:rFonts w:hint="eastAsia" w:ascii="黑体" w:hAnsi="黑体" w:eastAsia="黑体"/>
          <w:szCs w:val="21"/>
          <w:lang w:val="en-US" w:eastAsia="zh-CN"/>
        </w:rPr>
        <w:t>谈判</w:t>
      </w:r>
      <w:r>
        <w:rPr>
          <w:rFonts w:hint="eastAsia" w:ascii="黑体" w:hAnsi="黑体" w:eastAsia="黑体"/>
          <w:szCs w:val="21"/>
        </w:rPr>
        <w:t>文件“用户需求书”中的要求和</w:t>
      </w:r>
      <w:r>
        <w:rPr>
          <w:rFonts w:hint="eastAsia" w:ascii="黑体" w:hAnsi="黑体" w:eastAsia="黑体"/>
          <w:szCs w:val="21"/>
          <w:lang w:val="en-US" w:eastAsia="zh-CN"/>
        </w:rPr>
        <w:t>成交</w:t>
      </w:r>
      <w:r>
        <w:rPr>
          <w:rFonts w:hint="eastAsia" w:ascii="黑体" w:hAnsi="黑体" w:eastAsia="黑体"/>
          <w:szCs w:val="21"/>
        </w:rPr>
        <w:t>人的</w:t>
      </w:r>
      <w:r>
        <w:rPr>
          <w:rFonts w:hint="eastAsia" w:ascii="黑体" w:hAnsi="黑体" w:eastAsia="黑体"/>
          <w:szCs w:val="21"/>
          <w:lang w:val="en-US" w:eastAsia="zh-CN"/>
        </w:rPr>
        <w:t>响应</w:t>
      </w:r>
      <w:r>
        <w:rPr>
          <w:rFonts w:hint="eastAsia" w:ascii="黑体" w:hAnsi="黑体" w:eastAsia="黑体"/>
          <w:szCs w:val="21"/>
        </w:rPr>
        <w:t>文件中的相应内容。</w:t>
      </w:r>
    </w:p>
    <w:p>
      <w:pPr>
        <w:pStyle w:val="27"/>
        <w:numPr>
          <w:ilvl w:val="0"/>
          <w:numId w:val="42"/>
        </w:numPr>
        <w:spacing w:line="360" w:lineRule="auto"/>
        <w:ind w:firstLineChars="0"/>
        <w:rPr>
          <w:rFonts w:ascii="黑体" w:hAnsi="黑体" w:eastAsia="黑体"/>
          <w:szCs w:val="21"/>
        </w:rPr>
      </w:pPr>
      <w:r>
        <w:rPr>
          <w:rFonts w:hint="eastAsia" w:ascii="黑体" w:hAnsi="黑体" w:eastAsia="黑体"/>
          <w:szCs w:val="21"/>
        </w:rPr>
        <w:t>合同附件的具体内容由双方在签订合同时确定。</w:t>
      </w:r>
    </w:p>
    <w:p>
      <w:pPr>
        <w:pStyle w:val="10"/>
        <w:rPr>
          <w:rFonts w:ascii="仿宋"/>
          <w:b/>
          <w:sz w:val="20"/>
        </w:rPr>
      </w:pPr>
    </w:p>
    <w:p>
      <w:pPr>
        <w:pStyle w:val="10"/>
        <w:rPr>
          <w:rFonts w:ascii="仿宋"/>
          <w:b/>
          <w:sz w:val="20"/>
        </w:rPr>
      </w:pPr>
    </w:p>
    <w:p>
      <w:pPr>
        <w:rPr>
          <w:rFonts w:ascii="仿宋"/>
          <w:b/>
          <w:sz w:val="29"/>
        </w:rPr>
      </w:pPr>
      <w:r>
        <w:rPr>
          <w:rFonts w:ascii="仿宋"/>
          <w:b/>
          <w:sz w:val="29"/>
        </w:rPr>
        <w:br w:type="page"/>
      </w:r>
    </w:p>
    <w:p>
      <w:pPr>
        <w:pStyle w:val="10"/>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75" w:name="第五部分"/>
      <w:bookmarkEnd w:id="75"/>
      <w:bookmarkStart w:id="76"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76"/>
      <w:bookmarkStart w:id="77"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77"/>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78" w:name="（本部分内容表述如与本文件其他部分表述不一致的，以其他部分的内容  表述为准。谈"/>
      <w:bookmarkEnd w:id="78"/>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5" w:type="default"/>
          <w:footerReference r:id="rId16"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10"/>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79" w:name="竞 争 性 谈 判响"/>
      <w:bookmarkEnd w:id="79"/>
      <w:bookmarkStart w:id="80"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80"/>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10"/>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0"/>
        <w:rPr>
          <w:rFonts w:hint="eastAsia" w:ascii="仿宋" w:hAnsi="仿宋" w:eastAsia="仿宋" w:cs="仿宋"/>
          <w:b/>
          <w:sz w:val="52"/>
        </w:rPr>
      </w:pPr>
    </w:p>
    <w:p>
      <w:pPr>
        <w:pStyle w:val="10"/>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81" w:name="采购项目编号：                            项目名称："/>
      <w:bookmarkEnd w:id="81"/>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82" w:name="响应供应商名称： 日期： 年 月 日"/>
      <w:bookmarkEnd w:id="82"/>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0"/>
        </w:rPr>
      </w:pPr>
    </w:p>
    <w:p>
      <w:pPr>
        <w:pStyle w:val="10"/>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10"/>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10"/>
        <w:rPr>
          <w:rFonts w:hint="eastAsia" w:ascii="仿宋" w:hAnsi="仿宋" w:eastAsia="仿宋" w:cs="仿宋"/>
          <w:sz w:val="20"/>
        </w:rPr>
      </w:pPr>
    </w:p>
    <w:p>
      <w:pPr>
        <w:pStyle w:val="10"/>
        <w:spacing w:before="6"/>
        <w:rPr>
          <w:rFonts w:hint="eastAsia" w:ascii="仿宋" w:hAnsi="仿宋" w:eastAsia="仿宋" w:cs="仿宋"/>
          <w:sz w:val="16"/>
        </w:rPr>
      </w:pPr>
    </w:p>
    <w:p>
      <w:pPr>
        <w:pStyle w:val="10"/>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10"/>
        <w:spacing w:before="2"/>
        <w:rPr>
          <w:rFonts w:hint="eastAsia" w:ascii="仿宋" w:hAnsi="仿宋" w:eastAsia="仿宋" w:cs="仿宋"/>
          <w:sz w:val="26"/>
        </w:rPr>
      </w:pPr>
    </w:p>
    <w:p>
      <w:pPr>
        <w:pStyle w:val="9"/>
        <w:spacing w:line="422" w:lineRule="auto"/>
        <w:ind w:right="855" w:firstLine="420"/>
        <w:rPr>
          <w:rFonts w:hint="eastAsia" w:ascii="仿宋" w:hAnsi="仿宋" w:eastAsia="仿宋" w:cs="仿宋"/>
        </w:rPr>
      </w:pPr>
      <w:bookmarkStart w:id="83" w:name="说明：本报价信封仅为方便采购代理机构而设，如报价信封的内容与谈判响应文件正本不一"/>
      <w:bookmarkEnd w:id="83"/>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10"/>
        <w:spacing w:before="9"/>
        <w:rPr>
          <w:rFonts w:hint="eastAsia" w:ascii="仿宋" w:hAnsi="仿宋" w:eastAsia="仿宋" w:cs="仿宋"/>
          <w:b/>
          <w:sz w:val="19"/>
        </w:rPr>
      </w:pPr>
    </w:p>
    <w:p>
      <w:pPr>
        <w:pStyle w:val="27"/>
        <w:numPr>
          <w:ilvl w:val="1"/>
          <w:numId w:val="43"/>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10"/>
        <w:spacing w:before="7"/>
        <w:rPr>
          <w:rFonts w:hint="eastAsia" w:ascii="仿宋" w:hAnsi="仿宋" w:eastAsia="仿宋" w:cs="仿宋"/>
          <w:b/>
          <w:sz w:val="10"/>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8"/>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8"/>
              <w:spacing w:before="1"/>
              <w:jc w:val="center"/>
              <w:rPr>
                <w:rFonts w:hint="eastAsia" w:ascii="仿宋" w:hAnsi="仿宋" w:eastAsia="仿宋" w:cs="仿宋"/>
                <w:b/>
                <w:sz w:val="20"/>
              </w:rPr>
            </w:pPr>
          </w:p>
          <w:p>
            <w:pPr>
              <w:pStyle w:val="28"/>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8"/>
              <w:spacing w:before="1"/>
              <w:jc w:val="center"/>
              <w:rPr>
                <w:rFonts w:hint="eastAsia" w:ascii="仿宋" w:hAnsi="仿宋" w:eastAsia="仿宋" w:cs="仿宋"/>
                <w:b/>
                <w:sz w:val="20"/>
              </w:rPr>
            </w:pPr>
          </w:p>
          <w:p>
            <w:pPr>
              <w:pStyle w:val="28"/>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12"/>
              <w:jc w:val="center"/>
              <w:rPr>
                <w:rFonts w:hint="eastAsia" w:ascii="仿宋" w:hAnsi="仿宋" w:eastAsia="仿宋" w:cs="仿宋"/>
                <w:b/>
                <w:sz w:val="19"/>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1"/>
              <w:jc w:val="center"/>
              <w:rPr>
                <w:rFonts w:hint="eastAsia" w:ascii="仿宋" w:hAnsi="仿宋" w:eastAsia="仿宋" w:cs="仿宋"/>
                <w:b/>
                <w:sz w:val="20"/>
              </w:rPr>
            </w:pPr>
          </w:p>
          <w:p>
            <w:pPr>
              <w:pStyle w:val="28"/>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11"/>
        <w:rPr>
          <w:rFonts w:hint="eastAsia" w:ascii="仿宋" w:hAnsi="仿宋" w:eastAsia="仿宋" w:cs="仿宋"/>
          <w:sz w:val="16"/>
        </w:rPr>
      </w:pPr>
    </w:p>
    <w:p>
      <w:pPr>
        <w:pStyle w:val="10"/>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r>
        <w:rPr>
          <w:rFonts w:hint="eastAsia" w:ascii="仿宋" w:hAnsi="仿宋" w:eastAsia="仿宋" w:cs="仿宋"/>
          <w:u w:val="single"/>
          <w:lang w:val="en-US" w:eastAsia="zh-CN"/>
        </w:rPr>
        <w:t xml:space="preserve">                    </w:t>
      </w:r>
    </w:p>
    <w:p>
      <w:pPr>
        <w:pStyle w:val="10"/>
        <w:spacing w:before="7"/>
        <w:rPr>
          <w:rFonts w:hint="eastAsia" w:ascii="仿宋" w:hAnsi="仿宋" w:eastAsia="仿宋" w:cs="仿宋"/>
          <w:sz w:val="11"/>
        </w:rPr>
      </w:pPr>
    </w:p>
    <w:p>
      <w:pPr>
        <w:pStyle w:val="10"/>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1"/>
          <w:numId w:val="43"/>
        </w:numPr>
        <w:tabs>
          <w:tab w:val="left" w:pos="4452"/>
        </w:tabs>
        <w:spacing w:before="62" w:after="0" w:line="240" w:lineRule="auto"/>
        <w:ind w:left="4451" w:right="0" w:hanging="563"/>
        <w:jc w:val="left"/>
        <w:rPr>
          <w:rFonts w:hint="eastAsia" w:ascii="仿宋" w:hAnsi="仿宋" w:eastAsia="仿宋" w:cs="仿宋"/>
          <w:b/>
          <w:sz w:val="28"/>
        </w:rPr>
      </w:pPr>
      <w:bookmarkStart w:id="84" w:name="1.2 符合性自查表"/>
      <w:bookmarkEnd w:id="84"/>
      <w:bookmarkStart w:id="85" w:name="1.2 符合性自查表"/>
      <w:bookmarkEnd w:id="85"/>
      <w:r>
        <w:rPr>
          <w:rFonts w:hint="eastAsia" w:ascii="仿宋" w:hAnsi="仿宋" w:eastAsia="仿宋" w:cs="仿宋"/>
          <w:b/>
          <w:sz w:val="28"/>
        </w:rPr>
        <w:t>符合性自查表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8"/>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8"/>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8"/>
              <w:spacing w:before="3"/>
              <w:rPr>
                <w:rFonts w:hint="eastAsia" w:ascii="仿宋" w:hAnsi="仿宋" w:eastAsia="仿宋" w:cs="仿宋"/>
                <w:b/>
                <w:sz w:val="20"/>
              </w:rPr>
            </w:pPr>
          </w:p>
          <w:p>
            <w:pPr>
              <w:pStyle w:val="28"/>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8"/>
              <w:spacing w:before="3"/>
              <w:rPr>
                <w:rFonts w:hint="eastAsia" w:ascii="仿宋" w:hAnsi="仿宋" w:eastAsia="仿宋" w:cs="仿宋"/>
                <w:b/>
                <w:sz w:val="20"/>
              </w:rPr>
            </w:pPr>
          </w:p>
          <w:p>
            <w:pPr>
              <w:pStyle w:val="28"/>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3"/>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2"/>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2"/>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1"/>
              <w:jc w:val="center"/>
              <w:rPr>
                <w:rFonts w:hint="eastAsia" w:ascii="仿宋" w:hAnsi="仿宋" w:eastAsia="仿宋" w:cs="仿宋"/>
                <w:b/>
                <w:sz w:val="20"/>
              </w:rPr>
            </w:pPr>
          </w:p>
          <w:p>
            <w:pPr>
              <w:pStyle w:val="28"/>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1"/>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8"/>
              <w:jc w:val="left"/>
              <w:rPr>
                <w:rFonts w:hint="eastAsia" w:ascii="仿宋" w:hAnsi="仿宋" w:eastAsia="仿宋" w:cs="仿宋"/>
                <w:sz w:val="20"/>
              </w:rPr>
            </w:pPr>
          </w:p>
        </w:tc>
        <w:tc>
          <w:tcPr>
            <w:tcW w:w="1925" w:type="dxa"/>
            <w:vAlign w:val="center"/>
          </w:tcPr>
          <w:p>
            <w:pPr>
              <w:pStyle w:val="28"/>
              <w:spacing w:before="3"/>
              <w:jc w:val="center"/>
              <w:rPr>
                <w:rFonts w:hint="eastAsia" w:ascii="仿宋" w:hAnsi="仿宋" w:eastAsia="仿宋" w:cs="仿宋"/>
                <w:b/>
                <w:sz w:val="20"/>
              </w:rPr>
            </w:pPr>
          </w:p>
          <w:p>
            <w:pPr>
              <w:pStyle w:val="28"/>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8"/>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8"/>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9"/>
        <w:rPr>
          <w:rFonts w:hint="eastAsia" w:ascii="仿宋" w:hAnsi="仿宋" w:eastAsia="仿宋" w:cs="仿宋"/>
          <w:sz w:val="16"/>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2"/>
        <w:rPr>
          <w:rFonts w:hint="eastAsia" w:ascii="仿宋" w:hAnsi="仿宋" w:eastAsia="仿宋" w:cs="仿宋"/>
          <w:sz w:val="10"/>
        </w:rPr>
      </w:pPr>
    </w:p>
    <w:p>
      <w:pPr>
        <w:pStyle w:val="10"/>
        <w:tabs>
          <w:tab w:val="left" w:pos="1539"/>
          <w:tab w:val="left" w:pos="2259"/>
          <w:tab w:val="left" w:pos="2979"/>
        </w:tabs>
        <w:spacing w:before="70"/>
        <w:ind w:left="318"/>
        <w:rPr>
          <w:rFonts w:hint="eastAsia" w:ascii="仿宋" w:hAnsi="仿宋" w:eastAsia="仿宋" w:cs="仿宋"/>
        </w:rPr>
      </w:pPr>
      <w:bookmarkStart w:id="86" w:name="日期： 年 月 日"/>
      <w:bookmarkEnd w:id="86"/>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87" w:name="二、价格部分"/>
      <w:bookmarkEnd w:id="87"/>
      <w:r>
        <w:rPr>
          <w:rFonts w:hint="eastAsia" w:ascii="仿宋" w:hAnsi="仿宋" w:eastAsia="仿宋" w:cs="仿宋"/>
        </w:rPr>
        <w:t>二、价格部分</w:t>
      </w:r>
    </w:p>
    <w:p>
      <w:pPr>
        <w:pStyle w:val="6"/>
        <w:spacing w:before="242"/>
        <w:rPr>
          <w:rFonts w:hint="eastAsia" w:ascii="仿宋" w:hAnsi="仿宋" w:eastAsia="仿宋" w:cs="仿宋"/>
        </w:rPr>
      </w:pPr>
      <w:bookmarkStart w:id="88" w:name="2.1.谈判报价表（首轮报价）"/>
      <w:bookmarkEnd w:id="88"/>
      <w:r>
        <w:rPr>
          <w:rFonts w:hint="eastAsia" w:ascii="仿宋" w:hAnsi="仿宋" w:eastAsia="仿宋" w:cs="仿宋"/>
        </w:rPr>
        <w:t>2.1.谈判报价表（首轮报价）</w:t>
      </w:r>
    </w:p>
    <w:p>
      <w:pPr>
        <w:pStyle w:val="10"/>
        <w:spacing w:before="7"/>
        <w:rPr>
          <w:rFonts w:hint="eastAsia" w:ascii="仿宋" w:hAnsi="仿宋" w:eastAsia="仿宋" w:cs="仿宋"/>
          <w:b/>
          <w:sz w:val="28"/>
        </w:rPr>
      </w:pPr>
    </w:p>
    <w:p>
      <w:pPr>
        <w:pStyle w:val="10"/>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0"/>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8"/>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8"/>
              <w:spacing w:before="8"/>
              <w:rPr>
                <w:rFonts w:hint="eastAsia" w:ascii="仿宋" w:hAnsi="仿宋" w:eastAsia="仿宋" w:cs="仿宋"/>
                <w:sz w:val="18"/>
              </w:rPr>
            </w:pPr>
          </w:p>
          <w:p>
            <w:pPr>
              <w:pStyle w:val="28"/>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8"/>
              <w:jc w:val="center"/>
              <w:rPr>
                <w:rFonts w:hint="eastAsia" w:ascii="仿宋" w:hAnsi="仿宋" w:eastAsia="仿宋" w:cs="仿宋"/>
                <w:sz w:val="20"/>
              </w:rPr>
            </w:pPr>
          </w:p>
        </w:tc>
        <w:tc>
          <w:tcPr>
            <w:tcW w:w="5272" w:type="dxa"/>
          </w:tcPr>
          <w:p>
            <w:pPr>
              <w:pStyle w:val="28"/>
              <w:tabs>
                <w:tab w:val="left" w:pos="1799"/>
                <w:tab w:val="left" w:pos="4162"/>
                <w:tab w:val="left" w:pos="4214"/>
              </w:tabs>
              <w:spacing w:before="163" w:line="484" w:lineRule="auto"/>
              <w:ind w:left="220" w:leftChars="100" w:right="198" w:rightChars="0" w:firstLine="0" w:firstLineChars="0"/>
              <w:rPr>
                <w:rFonts w:hint="eastAsia" w:ascii="仿宋" w:hAnsi="仿宋" w:eastAsia="仿宋" w:cs="仿宋"/>
                <w:sz w:val="21"/>
              </w:rPr>
            </w:pPr>
            <w:r>
              <w:rPr>
                <w:rFonts w:hint="eastAsia" w:ascii="仿宋" w:hAnsi="仿宋" w:eastAsia="仿宋" w:cs="仿宋"/>
                <w:sz w:val="21"/>
                <w:lang w:val="en-US" w:eastAsia="zh-CN"/>
              </w:rPr>
              <w:t>监理</w:t>
            </w:r>
            <w:r>
              <w:rPr>
                <w:rFonts w:hint="eastAsia" w:ascii="仿宋" w:hAnsi="仿宋" w:eastAsia="仿宋" w:cs="仿宋"/>
                <w:sz w:val="21"/>
              </w:rPr>
              <w:t>费</w:t>
            </w:r>
            <w:r>
              <w:rPr>
                <w:rFonts w:hint="eastAsia" w:ascii="仿宋" w:hAnsi="仿宋" w:eastAsia="仿宋" w:cs="仿宋"/>
                <w:sz w:val="21"/>
                <w:lang w:val="en-US" w:eastAsia="zh-CN"/>
              </w:rPr>
              <w:t>响应</w:t>
            </w:r>
            <w:r>
              <w:rPr>
                <w:rFonts w:hint="eastAsia" w:ascii="仿宋" w:hAnsi="仿宋" w:eastAsia="仿宋" w:cs="仿宋"/>
                <w:sz w:val="21"/>
              </w:rPr>
              <w:t>报价下浮率为</w:t>
            </w:r>
            <w:r>
              <w:rPr>
                <w:rFonts w:hint="eastAsia" w:ascii="仿宋" w:hAnsi="仿宋" w:eastAsia="仿宋" w:cs="仿宋"/>
                <w:sz w:val="21"/>
                <w:u w:val="single"/>
              </w:rPr>
              <w:t xml:space="preserve">   </w:t>
            </w:r>
            <w:r>
              <w:rPr>
                <w:rFonts w:hint="eastAsia" w:ascii="仿宋" w:hAnsi="仿宋" w:eastAsia="仿宋" w:cs="仿宋"/>
                <w:sz w:val="21"/>
              </w:rPr>
              <w:t>％(大写：百分之</w:t>
            </w:r>
            <w:r>
              <w:rPr>
                <w:rFonts w:hint="eastAsia" w:ascii="仿宋" w:hAnsi="仿宋" w:eastAsia="仿宋" w:cs="仿宋"/>
                <w:sz w:val="21"/>
                <w:u w:val="single"/>
              </w:rPr>
              <w:t xml:space="preserve">  </w:t>
            </w:r>
            <w:r>
              <w:rPr>
                <w:rFonts w:hint="eastAsia" w:ascii="仿宋" w:hAnsi="仿宋" w:eastAsia="仿宋" w:cs="仿宋"/>
                <w:sz w:val="21"/>
              </w:rPr>
              <w:t>)，</w:t>
            </w:r>
            <w:r>
              <w:rPr>
                <w:rFonts w:hint="eastAsia" w:ascii="仿宋" w:hAnsi="仿宋" w:eastAsia="仿宋" w:cs="仿宋"/>
                <w:sz w:val="21"/>
                <w:lang w:val="en-US" w:eastAsia="zh-CN"/>
              </w:rPr>
              <w:t>监理</w:t>
            </w:r>
            <w:r>
              <w:rPr>
                <w:rFonts w:hint="eastAsia" w:ascii="仿宋" w:hAnsi="仿宋" w:eastAsia="仿宋" w:cs="仿宋"/>
                <w:sz w:val="21"/>
              </w:rPr>
              <w:t>费</w:t>
            </w:r>
            <w:r>
              <w:rPr>
                <w:rFonts w:hint="eastAsia" w:ascii="仿宋" w:hAnsi="仿宋" w:eastAsia="仿宋" w:cs="仿宋"/>
                <w:sz w:val="21"/>
                <w:lang w:val="en-US" w:eastAsia="zh-CN"/>
              </w:rPr>
              <w:t>响应</w:t>
            </w:r>
            <w:r>
              <w:rPr>
                <w:rFonts w:hint="eastAsia" w:ascii="仿宋" w:hAnsi="仿宋" w:eastAsia="仿宋" w:cs="仿宋"/>
                <w:sz w:val="21"/>
              </w:rPr>
              <w:t xml:space="preserve">报价 = </w:t>
            </w:r>
            <w:r>
              <w:rPr>
                <w:rFonts w:hint="eastAsia" w:ascii="仿宋" w:hAnsi="仿宋" w:eastAsia="仿宋" w:cs="仿宋"/>
                <w:sz w:val="21"/>
                <w:lang w:val="en-US" w:eastAsia="zh-CN"/>
              </w:rPr>
              <w:t>监理费采购</w:t>
            </w:r>
            <w:r>
              <w:rPr>
                <w:rFonts w:hint="eastAsia" w:ascii="仿宋" w:hAnsi="仿宋" w:eastAsia="仿宋" w:cs="仿宋"/>
                <w:sz w:val="21"/>
              </w:rPr>
              <w:t>控制价×(1 –</w:t>
            </w:r>
            <w:r>
              <w:rPr>
                <w:rFonts w:hint="eastAsia" w:ascii="仿宋" w:hAnsi="仿宋" w:eastAsia="仿宋" w:cs="仿宋"/>
                <w:sz w:val="21"/>
                <w:lang w:val="en-US" w:eastAsia="zh-CN"/>
              </w:rPr>
              <w:t>监理</w:t>
            </w:r>
            <w:r>
              <w:rPr>
                <w:rFonts w:hint="eastAsia" w:ascii="仿宋" w:hAnsi="仿宋" w:eastAsia="仿宋" w:cs="仿宋"/>
                <w:sz w:val="21"/>
              </w:rPr>
              <w:t>费</w:t>
            </w:r>
            <w:r>
              <w:rPr>
                <w:rFonts w:hint="eastAsia" w:ascii="仿宋" w:hAnsi="仿宋" w:eastAsia="仿宋" w:cs="仿宋"/>
                <w:sz w:val="21"/>
                <w:lang w:val="en-US" w:eastAsia="zh-CN"/>
              </w:rPr>
              <w:t>响应</w:t>
            </w:r>
            <w:r>
              <w:rPr>
                <w:rFonts w:hint="eastAsia" w:ascii="仿宋" w:hAnsi="仿宋" w:eastAsia="仿宋" w:cs="仿宋"/>
                <w:sz w:val="21"/>
              </w:rPr>
              <w:t>报价下浮率) 计算得</w:t>
            </w:r>
            <w:r>
              <w:rPr>
                <w:rFonts w:hint="eastAsia" w:ascii="仿宋" w:hAnsi="仿宋" w:eastAsia="仿宋" w:cs="仿宋"/>
                <w:sz w:val="21"/>
                <w:lang w:val="en-US" w:eastAsia="zh-CN"/>
              </w:rPr>
              <w:t>监理</w:t>
            </w:r>
            <w:r>
              <w:rPr>
                <w:rFonts w:hint="eastAsia" w:ascii="仿宋" w:hAnsi="仿宋" w:eastAsia="仿宋" w:cs="仿宋"/>
                <w:sz w:val="21"/>
              </w:rPr>
              <w:t>费</w:t>
            </w:r>
            <w:r>
              <w:rPr>
                <w:rFonts w:hint="eastAsia" w:ascii="仿宋" w:hAnsi="仿宋" w:eastAsia="仿宋" w:cs="仿宋"/>
                <w:sz w:val="21"/>
                <w:lang w:val="en-US" w:eastAsia="zh-CN"/>
              </w:rPr>
              <w:t>响应</w:t>
            </w:r>
            <w:r>
              <w:rPr>
                <w:rFonts w:hint="eastAsia" w:ascii="仿宋" w:hAnsi="仿宋" w:eastAsia="仿宋" w:cs="仿宋"/>
                <w:sz w:val="21"/>
              </w:rPr>
              <w:t>报价为人民币¥</w:t>
            </w:r>
            <w:r>
              <w:rPr>
                <w:rFonts w:hint="eastAsia" w:ascii="仿宋" w:hAnsi="仿宋" w:eastAsia="仿宋" w:cs="仿宋"/>
                <w:sz w:val="21"/>
                <w:u w:val="single"/>
              </w:rPr>
              <w:t xml:space="preserve"> </w:t>
            </w:r>
            <w:r>
              <w:rPr>
                <w:rFonts w:hint="eastAsia" w:ascii="仿宋" w:hAnsi="仿宋" w:eastAsia="仿宋" w:cs="仿宋"/>
                <w:sz w:val="21"/>
                <w:u w:val="single"/>
                <w:lang w:val="en-US" w:eastAsia="zh-CN"/>
              </w:rPr>
              <w:t xml:space="preserve">   </w:t>
            </w:r>
            <w:bookmarkStart w:id="126" w:name="_GoBack"/>
            <w:bookmarkEnd w:id="126"/>
            <w:r>
              <w:rPr>
                <w:rFonts w:hint="eastAsia" w:ascii="仿宋" w:hAnsi="仿宋" w:eastAsia="仿宋" w:cs="仿宋"/>
                <w:sz w:val="21"/>
                <w:u w:val="single"/>
              </w:rPr>
              <w:t xml:space="preserve"> </w:t>
            </w:r>
            <w:r>
              <w:rPr>
                <w:rFonts w:hint="eastAsia" w:ascii="仿宋" w:hAnsi="仿宋" w:eastAsia="仿宋" w:cs="仿宋"/>
                <w:sz w:val="21"/>
              </w:rPr>
              <w:t>元(大写：</w:t>
            </w:r>
            <w:r>
              <w:rPr>
                <w:rFonts w:hint="eastAsia" w:ascii="仿宋" w:hAnsi="仿宋" w:eastAsia="仿宋" w:cs="仿宋"/>
                <w:sz w:val="21"/>
                <w:lang w:val="en-US" w:eastAsia="zh-CN"/>
              </w:rPr>
              <w:t>人民币</w:t>
            </w:r>
            <w:r>
              <w:rPr>
                <w:rFonts w:hint="eastAsia" w:ascii="仿宋" w:hAnsi="仿宋" w:eastAsia="仿宋" w:cs="仿宋"/>
                <w:sz w:val="21"/>
                <w:u w:val="single"/>
              </w:rPr>
              <w:t xml:space="preserve">        </w:t>
            </w:r>
            <w:r>
              <w:rPr>
                <w:rFonts w:hint="eastAsia" w:ascii="仿宋" w:hAnsi="仿宋" w:eastAsia="仿宋" w:cs="仿宋"/>
                <w:sz w:val="21"/>
              </w:rPr>
              <w:t>)</w:t>
            </w:r>
          </w:p>
        </w:tc>
      </w:tr>
    </w:tbl>
    <w:p>
      <w:pPr>
        <w:pStyle w:val="10"/>
        <w:rPr>
          <w:rFonts w:hint="eastAsia" w:ascii="仿宋" w:hAnsi="仿宋" w:eastAsia="仿宋" w:cs="仿宋"/>
          <w:sz w:val="22"/>
        </w:rPr>
      </w:pPr>
    </w:p>
    <w:p>
      <w:pPr>
        <w:pStyle w:val="10"/>
        <w:spacing w:before="158"/>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0"/>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10"/>
        <w:spacing w:before="4"/>
        <w:rPr>
          <w:rFonts w:hint="eastAsia" w:ascii="仿宋" w:hAnsi="仿宋" w:eastAsia="仿宋" w:cs="仿宋"/>
          <w:sz w:val="15"/>
        </w:rPr>
      </w:pPr>
    </w:p>
    <w:p>
      <w:pPr>
        <w:pStyle w:val="10"/>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2"/>
        <w:rPr>
          <w:rFonts w:hint="eastAsia" w:ascii="仿宋" w:hAnsi="仿宋" w:eastAsia="仿宋" w:cs="仿宋"/>
          <w:sz w:val="29"/>
        </w:rPr>
      </w:pPr>
    </w:p>
    <w:p>
      <w:pPr>
        <w:pStyle w:val="10"/>
        <w:tabs>
          <w:tab w:val="left" w:pos="7665"/>
        </w:tabs>
        <w:ind w:left="318"/>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10"/>
        <w:spacing w:before="10"/>
        <w:rPr>
          <w:rFonts w:hint="eastAsia" w:ascii="仿宋" w:hAnsi="仿宋" w:eastAsia="仿宋" w:cs="仿宋"/>
          <w:sz w:val="10"/>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89" w:name="三、资格性文件"/>
      <w:bookmarkEnd w:id="89"/>
      <w:r>
        <w:rPr>
          <w:rFonts w:hint="eastAsia" w:ascii="仿宋" w:hAnsi="仿宋" w:eastAsia="仿宋" w:cs="仿宋"/>
        </w:rPr>
        <w:t>三、资格性文件</w:t>
      </w:r>
    </w:p>
    <w:p>
      <w:pPr>
        <w:pStyle w:val="6"/>
        <w:numPr>
          <w:ilvl w:val="1"/>
          <w:numId w:val="44"/>
        </w:numPr>
        <w:tabs>
          <w:tab w:val="left" w:pos="880"/>
        </w:tabs>
        <w:spacing w:before="242" w:after="0" w:line="240" w:lineRule="auto"/>
        <w:ind w:left="880" w:right="0" w:hanging="565"/>
        <w:jc w:val="left"/>
        <w:rPr>
          <w:rFonts w:hint="eastAsia" w:ascii="仿宋" w:hAnsi="仿宋" w:eastAsia="仿宋" w:cs="仿宋"/>
        </w:rPr>
      </w:pPr>
      <w:bookmarkStart w:id="90" w:name="3.1 响应函"/>
      <w:bookmarkEnd w:id="90"/>
      <w:bookmarkStart w:id="91" w:name="3.1 响应函"/>
      <w:bookmarkEnd w:id="91"/>
      <w:r>
        <w:rPr>
          <w:rFonts w:hint="eastAsia" w:ascii="仿宋" w:hAnsi="仿宋" w:eastAsia="仿宋" w:cs="仿宋"/>
        </w:rPr>
        <w:t>响应函</w:t>
      </w:r>
    </w:p>
    <w:p>
      <w:pPr>
        <w:pStyle w:val="10"/>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9"/>
        <w:spacing w:before="185"/>
        <w:rPr>
          <w:rFonts w:hint="eastAsia" w:ascii="仿宋" w:hAnsi="仿宋" w:eastAsia="仿宋" w:cs="仿宋"/>
          <w:lang w:val="en-US" w:eastAsia="zh-CN"/>
        </w:rPr>
      </w:pPr>
      <w:bookmarkStart w:id="92" w:name="致：云浮鼎建项目管理咨询有限公司"/>
      <w:bookmarkEnd w:id="92"/>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10"/>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10"/>
        <w:ind w:left="738"/>
        <w:rPr>
          <w:rFonts w:hint="eastAsia" w:ascii="仿宋" w:hAnsi="仿宋" w:eastAsia="仿宋" w:cs="仿宋"/>
        </w:rPr>
      </w:pPr>
      <w:r>
        <w:rPr>
          <w:rFonts w:hint="eastAsia" w:ascii="仿宋" w:hAnsi="仿宋" w:eastAsia="仿宋" w:cs="仿宋"/>
        </w:rPr>
        <w:t>1、自查表；</w:t>
      </w:r>
    </w:p>
    <w:p>
      <w:pPr>
        <w:pStyle w:val="10"/>
        <w:spacing w:before="131"/>
        <w:ind w:left="738"/>
        <w:rPr>
          <w:rFonts w:hint="eastAsia" w:ascii="仿宋" w:hAnsi="仿宋" w:eastAsia="仿宋" w:cs="仿宋"/>
        </w:rPr>
      </w:pPr>
      <w:r>
        <w:rPr>
          <w:rFonts w:hint="eastAsia" w:ascii="仿宋" w:hAnsi="仿宋" w:eastAsia="仿宋" w:cs="仿宋"/>
        </w:rPr>
        <w:t>2、价格部分；</w:t>
      </w:r>
    </w:p>
    <w:p>
      <w:pPr>
        <w:pStyle w:val="10"/>
        <w:spacing w:before="142"/>
        <w:ind w:left="738"/>
        <w:rPr>
          <w:rFonts w:hint="eastAsia" w:ascii="仿宋" w:hAnsi="仿宋" w:eastAsia="仿宋" w:cs="仿宋"/>
        </w:rPr>
      </w:pPr>
      <w:r>
        <w:rPr>
          <w:rFonts w:hint="eastAsia" w:ascii="仿宋" w:hAnsi="仿宋" w:eastAsia="仿宋" w:cs="仿宋"/>
        </w:rPr>
        <w:t>3、资格性文件；</w:t>
      </w:r>
    </w:p>
    <w:p>
      <w:pPr>
        <w:pStyle w:val="10"/>
        <w:spacing w:before="141"/>
        <w:ind w:left="738"/>
        <w:rPr>
          <w:rFonts w:hint="eastAsia" w:ascii="仿宋" w:hAnsi="仿宋" w:eastAsia="仿宋" w:cs="仿宋"/>
        </w:rPr>
      </w:pPr>
      <w:r>
        <w:rPr>
          <w:rFonts w:hint="eastAsia" w:ascii="仿宋" w:hAnsi="仿宋" w:eastAsia="仿宋" w:cs="仿宋"/>
        </w:rPr>
        <w:t>4、商务部分；</w:t>
      </w:r>
    </w:p>
    <w:p>
      <w:pPr>
        <w:pStyle w:val="10"/>
        <w:spacing w:before="139"/>
        <w:ind w:left="318"/>
        <w:rPr>
          <w:rFonts w:hint="eastAsia" w:ascii="仿宋" w:hAnsi="仿宋" w:eastAsia="仿宋" w:cs="仿宋"/>
        </w:rPr>
      </w:pPr>
      <w:r>
        <w:rPr>
          <w:rFonts w:hint="eastAsia" w:ascii="仿宋" w:hAnsi="仿宋" w:eastAsia="仿宋" w:cs="仿宋"/>
        </w:rPr>
        <w:t>在此，我方声明如下：</w:t>
      </w:r>
    </w:p>
    <w:p>
      <w:pPr>
        <w:pStyle w:val="10"/>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10"/>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10"/>
        <w:spacing w:before="141" w:line="360"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pStyle w:val="10"/>
        <w:spacing w:line="360" w:lineRule="auto"/>
        <w:ind w:left="738"/>
        <w:rPr>
          <w:rFonts w:hint="eastAsia" w:ascii="仿宋" w:hAnsi="仿宋" w:eastAsia="仿宋" w:cs="仿宋"/>
        </w:rPr>
      </w:pPr>
      <w:r>
        <w:rPr>
          <w:rFonts w:hint="eastAsia" w:ascii="仿宋" w:hAnsi="仿宋" w:eastAsia="仿宋" w:cs="仿宋"/>
        </w:rPr>
        <w:t>4、我方已毫无保留地向贵方提供一切所需的证明材料。</w:t>
      </w:r>
    </w:p>
    <w:p>
      <w:pPr>
        <w:spacing w:line="360" w:lineRule="auto"/>
        <w:ind w:left="220" w:leftChars="100" w:right="370" w:rightChars="168" w:firstLine="438" w:firstLineChars="209"/>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我方明白</w:t>
      </w:r>
      <w:r>
        <w:rPr>
          <w:rFonts w:hint="eastAsia" w:ascii="仿宋" w:hAnsi="仿宋" w:eastAsia="仿宋" w:cs="仿宋"/>
          <w:sz w:val="21"/>
          <w:szCs w:val="21"/>
          <w:lang w:val="en-US" w:eastAsia="zh-CN" w:bidi="zh-CN"/>
        </w:rPr>
        <w:t>如在规定</w:t>
      </w:r>
      <w:r>
        <w:rPr>
          <w:rFonts w:hint="eastAsia" w:ascii="仿宋" w:hAnsi="仿宋" w:eastAsia="仿宋" w:cs="仿宋"/>
          <w:sz w:val="21"/>
          <w:szCs w:val="21"/>
          <w:lang w:val="zh-CN" w:eastAsia="zh-CN" w:bidi="zh-CN"/>
        </w:rPr>
        <w:t>的</w:t>
      </w:r>
      <w:r>
        <w:rPr>
          <w:rFonts w:hint="eastAsia" w:ascii="仿宋" w:hAnsi="仿宋" w:eastAsia="仿宋" w:cs="仿宋"/>
          <w:sz w:val="21"/>
          <w:szCs w:val="21"/>
          <w:lang w:val="en-US" w:eastAsia="zh-CN" w:bidi="zh-CN"/>
        </w:rPr>
        <w:t>响应文件递交截止</w:t>
      </w:r>
      <w:r>
        <w:rPr>
          <w:rFonts w:hint="eastAsia" w:ascii="仿宋" w:hAnsi="仿宋" w:eastAsia="仿宋" w:cs="仿宋"/>
          <w:sz w:val="21"/>
          <w:szCs w:val="21"/>
          <w:lang w:val="zh-CN" w:eastAsia="zh-CN" w:bidi="zh-CN"/>
        </w:rPr>
        <w:t>时间之后,</w:t>
      </w:r>
      <w:r>
        <w:rPr>
          <w:rFonts w:hint="eastAsia" w:ascii="仿宋" w:hAnsi="仿宋" w:eastAsia="仿宋" w:cs="仿宋"/>
          <w:sz w:val="21"/>
          <w:szCs w:val="21"/>
          <w:lang w:val="en-US" w:eastAsia="zh-CN" w:bidi="zh-CN"/>
        </w:rPr>
        <w:t>响应文件</w:t>
      </w:r>
      <w:r>
        <w:rPr>
          <w:rFonts w:hint="eastAsia" w:ascii="仿宋" w:hAnsi="仿宋" w:eastAsia="仿宋" w:cs="仿宋"/>
          <w:sz w:val="21"/>
          <w:szCs w:val="21"/>
          <w:lang w:val="zh-CN" w:eastAsia="zh-CN" w:bidi="zh-CN"/>
        </w:rPr>
        <w:t>有效期之内撤回</w:t>
      </w:r>
      <w:r>
        <w:rPr>
          <w:rFonts w:hint="eastAsia" w:ascii="仿宋" w:hAnsi="仿宋" w:eastAsia="仿宋" w:cs="仿宋"/>
          <w:sz w:val="21"/>
          <w:szCs w:val="21"/>
          <w:lang w:val="en-US" w:eastAsia="zh-CN" w:bidi="zh-CN"/>
        </w:rPr>
        <w:t>响应文件</w:t>
      </w:r>
      <w:r>
        <w:rPr>
          <w:rFonts w:hint="eastAsia" w:ascii="仿宋" w:hAnsi="仿宋" w:eastAsia="仿宋" w:cs="仿宋"/>
          <w:sz w:val="21"/>
          <w:szCs w:val="21"/>
          <w:lang w:val="zh-CN" w:eastAsia="zh-CN" w:bidi="zh-CN"/>
        </w:rPr>
        <w:t>,则</w:t>
      </w:r>
      <w:r>
        <w:rPr>
          <w:rFonts w:hint="eastAsia" w:ascii="仿宋" w:hAnsi="仿宋" w:eastAsia="仿宋" w:cs="仿宋"/>
          <w:sz w:val="21"/>
          <w:szCs w:val="21"/>
          <w:lang w:val="en-US" w:eastAsia="zh-CN" w:bidi="zh-CN"/>
        </w:rPr>
        <w:t>承担相关责任</w:t>
      </w:r>
      <w:r>
        <w:rPr>
          <w:rFonts w:hint="eastAsia" w:ascii="仿宋" w:hAnsi="仿宋" w:eastAsia="仿宋" w:cs="仿宋"/>
          <w:sz w:val="21"/>
          <w:szCs w:val="21"/>
          <w:lang w:val="zh-CN" w:eastAsia="zh-CN" w:bidi="zh-CN"/>
        </w:rPr>
        <w:t>。</w:t>
      </w:r>
    </w:p>
    <w:p>
      <w:pPr>
        <w:spacing w:line="360" w:lineRule="auto"/>
        <w:ind w:left="220" w:leftChars="100" w:right="370" w:rightChars="168" w:firstLine="459" w:firstLineChars="209"/>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10"/>
        <w:tabs>
          <w:tab w:val="left" w:pos="843"/>
        </w:tabs>
        <w:spacing w:line="360" w:lineRule="auto"/>
        <w:ind w:left="318" w:right="610" w:firstLine="42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w:t>
      </w:r>
      <w:r>
        <w:rPr>
          <w:rFonts w:hint="eastAsia" w:ascii="仿宋" w:hAnsi="仿宋" w:eastAsia="仿宋" w:cs="仿宋"/>
          <w:sz w:val="22"/>
          <w:szCs w:val="22"/>
          <w:lang w:val="zh-CN" w:eastAsia="zh-CN" w:bidi="zh-CN"/>
        </w:rPr>
        <w:t>我方完全服从和尊重评审委员会所作的评定结果，同时清楚理解到报价最低并非意味着必定获得成交资格。</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0" w:lineRule="auto"/>
        <w:ind w:left="374" w:leftChars="170" w:right="0" w:firstLine="431"/>
        <w:textAlignment w:val="auto"/>
        <w:rPr>
          <w:rFonts w:hint="eastAsia" w:ascii="仿宋" w:hAnsi="仿宋" w:eastAsia="仿宋" w:cs="仿宋"/>
          <w:w w:val="95"/>
        </w:rPr>
      </w:pP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sz w:val="22"/>
          <w:szCs w:val="22"/>
          <w:lang w:val="zh-CN" w:eastAsia="zh-CN" w:bidi="zh-CN"/>
        </w:rPr>
        <w:t>我方同意按谈判文件规定向采购代理机构缴纳成交服务费。</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rPr>
      </w:pPr>
      <w:r>
        <w:rPr>
          <w:rFonts w:hint="eastAsia" w:ascii="仿宋" w:hAnsi="仿宋" w:eastAsia="仿宋" w:cs="仿宋"/>
        </w:rPr>
        <w:t>供应商（</w:t>
      </w:r>
      <w:r>
        <w:rPr>
          <w:rFonts w:hint="eastAsia" w:ascii="仿宋" w:hAnsi="仿宋" w:eastAsia="仿宋" w:cs="仿宋"/>
          <w:lang w:val="en-US" w:eastAsia="zh-CN"/>
        </w:rPr>
        <w:t>公</w:t>
      </w:r>
      <w:r>
        <w:rPr>
          <w:rFonts w:hint="eastAsia" w:ascii="仿宋" w:hAnsi="仿宋" w:eastAsia="仿宋" w:cs="仿宋"/>
        </w:rPr>
        <w:t>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tabs>
          <w:tab w:val="left" w:pos="4302"/>
        </w:tabs>
        <w:spacing w:line="360"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0"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4"/>
        </w:numPr>
        <w:tabs>
          <w:tab w:val="left" w:pos="880"/>
        </w:tabs>
        <w:spacing w:before="62" w:after="0" w:line="240" w:lineRule="auto"/>
        <w:ind w:left="880" w:right="0" w:hanging="565"/>
        <w:jc w:val="left"/>
        <w:rPr>
          <w:rFonts w:hint="eastAsia" w:ascii="仿宋" w:hAnsi="仿宋" w:eastAsia="仿宋" w:cs="仿宋"/>
        </w:rPr>
      </w:pPr>
      <w:bookmarkStart w:id="93" w:name="3.2 法定代表人/负责人资格证明书及授权委托书"/>
      <w:bookmarkEnd w:id="93"/>
      <w:bookmarkStart w:id="94" w:name="3.2 法定代表人/负责人资格证明书及授权委托书"/>
      <w:bookmarkEnd w:id="94"/>
      <w:r>
        <w:rPr>
          <w:rFonts w:hint="eastAsia" w:ascii="仿宋" w:hAnsi="仿宋" w:eastAsia="仿宋" w:cs="仿宋"/>
        </w:rPr>
        <w:t>法定代表人/负责人资格证明书及授权委托书</w:t>
      </w:r>
    </w:p>
    <w:p>
      <w:pPr>
        <w:pStyle w:val="10"/>
        <w:spacing w:before="10"/>
        <w:rPr>
          <w:rFonts w:hint="eastAsia" w:ascii="仿宋" w:hAnsi="仿宋" w:eastAsia="仿宋" w:cs="仿宋"/>
          <w:b/>
          <w:sz w:val="41"/>
        </w:rPr>
      </w:pPr>
    </w:p>
    <w:p>
      <w:pPr>
        <w:pStyle w:val="7"/>
        <w:numPr>
          <w:ilvl w:val="0"/>
          <w:numId w:val="45"/>
        </w:numPr>
        <w:tabs>
          <w:tab w:val="left" w:pos="3483"/>
          <w:tab w:val="left" w:pos="3536"/>
          <w:tab w:val="left" w:pos="3537"/>
          <w:tab w:val="clear" w:pos="2940"/>
        </w:tabs>
        <w:spacing w:before="0" w:after="0" w:line="240" w:lineRule="auto"/>
        <w:ind w:left="6476" w:leftChars="0" w:right="0" w:hanging="3437"/>
        <w:jc w:val="both"/>
        <w:rPr>
          <w:rFonts w:hint="eastAsia" w:ascii="仿宋" w:hAnsi="仿宋" w:eastAsia="仿宋" w:cs="仿宋"/>
        </w:rPr>
      </w:pPr>
      <w:bookmarkStart w:id="95" w:name="（1）法定代表人/负责人资格证明书"/>
      <w:bookmarkEnd w:id="95"/>
      <w:bookmarkStart w:id="96" w:name="（1）法定代表人/负责人资格证明书"/>
      <w:bookmarkEnd w:id="96"/>
      <w:r>
        <w:rPr>
          <w:rFonts w:hint="eastAsia" w:ascii="仿宋" w:hAnsi="仿宋" w:eastAsia="仿宋" w:cs="仿宋"/>
          <w:spacing w:val="-1"/>
        </w:rPr>
        <w:t>法定代表人</w:t>
      </w:r>
      <w:r>
        <w:rPr>
          <w:rFonts w:hint="eastAsia" w:ascii="仿宋" w:hAnsi="仿宋" w:eastAsia="仿宋" w:cs="仿宋"/>
        </w:rPr>
        <w:t>/负责人资格证明书</w:t>
      </w:r>
    </w:p>
    <w:p>
      <w:pPr>
        <w:pStyle w:val="10"/>
        <w:rPr>
          <w:rFonts w:hint="eastAsia" w:ascii="仿宋" w:hAnsi="仿宋" w:eastAsia="仿宋" w:cs="仿宋"/>
          <w:b/>
          <w:sz w:val="24"/>
        </w:rPr>
      </w:pPr>
    </w:p>
    <w:p>
      <w:pPr>
        <w:pStyle w:val="9"/>
        <w:spacing w:before="190"/>
        <w:rPr>
          <w:rFonts w:hint="eastAsia" w:ascii="仿宋" w:hAnsi="仿宋" w:eastAsia="仿宋" w:cs="仿宋"/>
          <w:lang w:val="en-US" w:eastAsia="zh-CN"/>
        </w:rPr>
      </w:pPr>
      <w:bookmarkStart w:id="97" w:name="致：云浮鼎建项目管理咨询有限公司"/>
      <w:bookmarkEnd w:id="97"/>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6"/>
        <w:rPr>
          <w:rFonts w:hint="eastAsia" w:ascii="仿宋" w:hAnsi="仿宋" w:eastAsia="仿宋" w:cs="仿宋"/>
          <w:b/>
          <w:sz w:val="20"/>
        </w:rPr>
      </w:pP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10"/>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10"/>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10"/>
        <w:spacing w:before="4"/>
        <w:rPr>
          <w:rFonts w:hint="eastAsia" w:ascii="仿宋" w:hAnsi="仿宋" w:eastAsia="仿宋" w:cs="仿宋"/>
          <w:sz w:val="15"/>
        </w:rPr>
      </w:pPr>
    </w:p>
    <w:p>
      <w:pPr>
        <w:pStyle w:val="9"/>
        <w:ind w:left="1158"/>
        <w:rPr>
          <w:rFonts w:hint="eastAsia" w:ascii="仿宋" w:hAnsi="仿宋" w:eastAsia="仿宋" w:cs="仿宋"/>
        </w:rPr>
      </w:pPr>
      <w:bookmarkStart w:id="98" w:name="4、报名本项目时提供的法定代表人/负责人资格证明书以此版本为准。"/>
      <w:bookmarkEnd w:id="98"/>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10"/>
        <w:spacing w:before="12"/>
        <w:rPr>
          <w:rFonts w:hint="eastAsia" w:ascii="仿宋" w:hAnsi="仿宋" w:eastAsia="仿宋" w:cs="仿宋"/>
          <w:b/>
          <w:sz w:val="1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spacing w:before="130" w:line="590" w:lineRule="auto"/>
        <w:ind w:left="5130" w:right="1930"/>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p>
    <w:p>
      <w:pPr>
        <w:pStyle w:val="10"/>
        <w:spacing w:before="130" w:line="590" w:lineRule="auto"/>
        <w:ind w:left="5130" w:right="1930"/>
        <w:rPr>
          <w:rFonts w:hint="eastAsia" w:ascii="仿宋" w:hAnsi="仿宋" w:eastAsia="仿宋" w:cs="仿宋"/>
        </w:rPr>
      </w:pPr>
      <w:r>
        <w:rPr>
          <w:rFonts w:hint="eastAsia" w:ascii="仿宋" w:hAnsi="仿宋" w:eastAsia="仿宋" w:cs="仿宋"/>
        </w:rPr>
        <w:t>法人代表：（签字</w:t>
      </w:r>
      <w:r>
        <w:rPr>
          <w:rFonts w:hint="eastAsia" w:ascii="仿宋" w:hAnsi="仿宋" w:eastAsia="仿宋" w:cs="仿宋"/>
          <w:lang w:val="en-US" w:eastAsia="zh-CN"/>
        </w:rPr>
        <w:t>或盖章</w:t>
      </w:r>
      <w:r>
        <w:rPr>
          <w:rFonts w:hint="eastAsia" w:ascii="仿宋" w:hAnsi="仿宋" w:eastAsia="仿宋" w:cs="仿宋"/>
        </w:rPr>
        <w:t>）</w:t>
      </w:r>
    </w:p>
    <w:p>
      <w:pPr>
        <w:pStyle w:val="10"/>
        <w:spacing w:line="559" w:lineRule="auto"/>
        <w:ind w:left="5140" w:right="4059" w:hanging="10"/>
        <w:rPr>
          <w:rFonts w:hint="eastAsia" w:ascii="仿宋" w:hAnsi="仿宋" w:eastAsia="仿宋" w:cs="仿宋"/>
        </w:rPr>
      </w:pPr>
      <w:r>
        <w:rPr>
          <w:rFonts w:hint="eastAsia" w:ascii="仿宋" w:hAnsi="仿宋" w:eastAsia="仿宋" w:cs="仿宋"/>
        </w:rPr>
        <w:t>地址：</w:t>
      </w:r>
      <w:bookmarkStart w:id="99" w:name="日期："/>
      <w:bookmarkEnd w:id="99"/>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numPr>
          <w:ilvl w:val="0"/>
          <w:numId w:val="45"/>
        </w:numPr>
        <w:tabs>
          <w:tab w:val="left" w:pos="3536"/>
          <w:tab w:val="left" w:pos="3537"/>
          <w:tab w:val="clear" w:pos="2940"/>
        </w:tabs>
        <w:spacing w:before="66" w:after="0" w:line="240" w:lineRule="auto"/>
        <w:ind w:left="6476" w:leftChars="0"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10"/>
        <w:rPr>
          <w:rFonts w:hint="eastAsia" w:ascii="仿宋" w:hAnsi="仿宋" w:eastAsia="仿宋" w:cs="仿宋"/>
          <w:b/>
          <w:sz w:val="24"/>
        </w:rPr>
      </w:pPr>
    </w:p>
    <w:p>
      <w:pPr>
        <w:pStyle w:val="9"/>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3"/>
        <w:rPr>
          <w:rFonts w:hint="eastAsia" w:ascii="仿宋" w:hAnsi="仿宋" w:eastAsia="仿宋" w:cs="仿宋"/>
          <w:b/>
          <w:sz w:val="20"/>
        </w:rPr>
      </w:pPr>
    </w:p>
    <w:p>
      <w:pPr>
        <w:pStyle w:val="10"/>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10"/>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10"/>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10"/>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100" w:name="7、报名本项目时提供的法定代表人/负责人授权委托书以此版本为准。"/>
      <w:bookmarkEnd w:id="100"/>
      <w:r>
        <w:rPr>
          <w:rFonts w:hint="eastAsia" w:ascii="仿宋" w:hAnsi="仿宋" w:eastAsia="仿宋" w:cs="仿宋"/>
        </w:rPr>
        <w:t>7、报名本项目时提供的法定代表人/负责人授权委托书以此版本为准。</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供应商地址：</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10"/>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4"/>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10"/>
        <w:rPr>
          <w:rFonts w:hint="eastAsia" w:ascii="仿宋" w:hAnsi="仿宋" w:eastAsia="仿宋" w:cs="仿宋"/>
          <w:b/>
          <w:sz w:val="20"/>
        </w:rPr>
      </w:pPr>
    </w:p>
    <w:p>
      <w:pPr>
        <w:pStyle w:val="10"/>
        <w:spacing w:before="12"/>
        <w:rPr>
          <w:rFonts w:hint="eastAsia" w:ascii="仿宋" w:hAnsi="仿宋" w:eastAsia="仿宋" w:cs="仿宋"/>
          <w:b/>
          <w:sz w:val="27"/>
        </w:rPr>
      </w:pPr>
    </w:p>
    <w:p>
      <w:pPr>
        <w:pStyle w:val="9"/>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10"/>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9"/>
        <w:keepNext w:val="0"/>
        <w:keepLines w:val="0"/>
        <w:pageBreakBefore w:val="0"/>
        <w:widowControl w:val="0"/>
        <w:numPr>
          <w:ilvl w:val="0"/>
          <w:numId w:val="46"/>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101" w:name="3、 按《供应商资格要求》提供的其他证明文件（如有）。"/>
      <w:bookmarkEnd w:id="101"/>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10"/>
        <w:rPr>
          <w:rFonts w:hint="eastAsia" w:ascii="仿宋" w:hAnsi="仿宋" w:eastAsia="仿宋" w:cs="仿宋"/>
          <w:b/>
          <w:bCs/>
          <w:sz w:val="21"/>
          <w:szCs w:val="21"/>
          <w:lang w:val="zh-CN" w:eastAsia="zh-CN" w:bidi="zh-CN"/>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10"/>
        <w:spacing w:before="1"/>
        <w:rPr>
          <w:rFonts w:hint="eastAsia" w:ascii="仿宋" w:hAnsi="仿宋" w:eastAsia="仿宋" w:cs="仿宋"/>
          <w:sz w:val="11"/>
        </w:rPr>
      </w:pPr>
    </w:p>
    <w:p>
      <w:pPr>
        <w:pStyle w:val="10"/>
        <w:tabs>
          <w:tab w:val="left" w:pos="5668"/>
        </w:tabs>
        <w:spacing w:before="76"/>
        <w:ind w:left="527"/>
        <w:rPr>
          <w:rFonts w:hint="eastAsia" w:ascii="仿宋" w:hAnsi="仿宋" w:eastAsia="仿宋" w:cs="仿宋"/>
        </w:rPr>
      </w:pPr>
      <w:r>
        <w:rPr>
          <w:rFonts w:hint="eastAsia" w:ascii="仿宋" w:hAnsi="仿宋" w:eastAsia="仿宋" w:cs="仿宋"/>
        </w:rPr>
        <w:t>供应商名称（</w:t>
      </w:r>
      <w:r>
        <w:rPr>
          <w:rFonts w:hint="eastAsia" w:ascii="仿宋" w:hAnsi="仿宋" w:eastAsia="仿宋" w:cs="仿宋"/>
          <w:lang w:val="en-US" w:eastAsia="zh-CN"/>
        </w:rPr>
        <w:t>公</w:t>
      </w:r>
      <w:r>
        <w:rPr>
          <w:rFonts w:hint="eastAsia" w:ascii="仿宋" w:hAnsi="仿宋" w:eastAsia="仿宋" w:cs="仿宋"/>
        </w:rPr>
        <w:t>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0"/>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1" w:line="484" w:lineRule="auto"/>
        <w:ind w:left="728" w:right="279" w:hanging="629"/>
        <w:rPr>
          <w:rFonts w:hint="eastAsia" w:ascii="仿宋" w:hAnsi="仿宋" w:eastAsia="仿宋" w:cs="仿宋"/>
        </w:rPr>
      </w:pPr>
    </w:p>
    <w:p>
      <w:pPr>
        <w:pStyle w:val="10"/>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10"/>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line="360" w:lineRule="auto"/>
        <w:rPr>
          <w:rFonts w:hint="eastAsia" w:ascii="仿宋" w:hAnsi="仿宋" w:eastAsia="仿宋" w:cs="仿宋"/>
          <w:sz w:val="20"/>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102" w:name="附 2：关于具有良好的商业信誉和健全的财务会计制度承诺函"/>
      <w:bookmarkEnd w:id="102"/>
      <w:r>
        <w:rPr>
          <w:rFonts w:hint="eastAsia" w:ascii="仿宋" w:hAnsi="仿宋" w:eastAsia="仿宋" w:cs="仿宋"/>
          <w:highlight w:val="none"/>
        </w:rPr>
        <w:t>附 2：关于具有良好的商业信誉和健全的财务会计制度承诺函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103" w:name="附 3：关于依法缴纳税收承诺函（如非“三合一”或“五合一”证照的， 须同时提供税"/>
      <w:bookmarkEnd w:id="103"/>
      <w:r>
        <w:rPr>
          <w:rFonts w:hint="eastAsia" w:ascii="仿宋" w:hAnsi="仿宋" w:eastAsia="仿宋" w:cs="仿宋"/>
          <w:highlight w:val="none"/>
        </w:rPr>
        <w:t>附 3：关于依法缴纳税收承诺函（如非“三合一”或“五合一”证照的，须同时提供税务登记证）</w:t>
      </w:r>
    </w:p>
    <w:p>
      <w:pPr>
        <w:pStyle w:val="10"/>
        <w:rPr>
          <w:rFonts w:hint="eastAsia" w:ascii="仿宋" w:hAnsi="仿宋" w:eastAsia="仿宋" w:cs="仿宋"/>
          <w:b/>
          <w:sz w:val="28"/>
          <w:highlight w:val="none"/>
        </w:rPr>
      </w:pPr>
    </w:p>
    <w:p>
      <w:pPr>
        <w:pStyle w:val="10"/>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0"/>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10"/>
        <w:rPr>
          <w:rFonts w:hint="eastAsia" w:ascii="仿宋" w:hAnsi="仿宋" w:eastAsia="仿宋" w:cs="仿宋"/>
          <w:sz w:val="20"/>
        </w:rPr>
      </w:pPr>
    </w:p>
    <w:p>
      <w:pPr>
        <w:pStyle w:val="10"/>
        <w:spacing w:before="5"/>
        <w:rPr>
          <w:rFonts w:hint="eastAsia" w:ascii="仿宋" w:hAnsi="仿宋" w:eastAsia="仿宋" w:cs="仿宋"/>
          <w:sz w:val="17"/>
        </w:rPr>
      </w:pPr>
    </w:p>
    <w:p>
      <w:pPr>
        <w:pStyle w:val="10"/>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3"/>
        <w:rPr>
          <w:rFonts w:hint="eastAsia" w:ascii="仿宋" w:hAnsi="仿宋" w:eastAsia="仿宋" w:cs="仿宋"/>
          <w:sz w:val="28"/>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104" w:name="附 4：关于依法缴纳社会保障资金承诺函（如非“五合一”证照，须同时提供社保登记证"/>
      <w:bookmarkEnd w:id="104"/>
      <w:r>
        <w:rPr>
          <w:rFonts w:hint="eastAsia" w:ascii="仿宋" w:hAnsi="仿宋" w:eastAsia="仿宋" w:cs="仿宋"/>
          <w:highlight w:val="none"/>
        </w:rPr>
        <w:t>附 4：关于依法缴纳社会保障资金承诺函（如非“五合一”证照，须同时提供社保登记证）</w:t>
      </w:r>
    </w:p>
    <w:p>
      <w:pPr>
        <w:pStyle w:val="10"/>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10"/>
        <w:rPr>
          <w:rFonts w:hint="eastAsia" w:ascii="仿宋" w:hAnsi="仿宋" w:eastAsia="仿宋" w:cs="仿宋"/>
          <w:sz w:val="20"/>
        </w:rPr>
      </w:pPr>
    </w:p>
    <w:p>
      <w:pPr>
        <w:pStyle w:val="10"/>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8"/>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105" w:name="附 5：参加政府采购活动前三年内，在经营活动中没有重大违法记录的承诺函"/>
      <w:bookmarkEnd w:id="105"/>
      <w:r>
        <w:rPr>
          <w:rFonts w:hint="eastAsia" w:ascii="仿宋" w:hAnsi="仿宋" w:eastAsia="仿宋" w:cs="仿宋"/>
          <w:highlight w:val="none"/>
        </w:rPr>
        <w:t>附 5：参加政府采购活动前三年内，在经营活动中没有重大违法记录的承诺函</w:t>
      </w:r>
    </w:p>
    <w:p>
      <w:pPr>
        <w:pStyle w:val="10"/>
        <w:rPr>
          <w:rFonts w:hint="eastAsia" w:ascii="仿宋" w:hAnsi="仿宋" w:eastAsia="仿宋" w:cs="仿宋"/>
          <w:b/>
          <w:sz w:val="28"/>
        </w:rPr>
      </w:pPr>
    </w:p>
    <w:p>
      <w:pPr>
        <w:pStyle w:val="10"/>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10"/>
        <w:spacing w:before="9"/>
        <w:rPr>
          <w:rFonts w:hint="eastAsia" w:ascii="仿宋" w:hAnsi="仿宋" w:eastAsia="仿宋" w:cs="仿宋"/>
          <w:sz w:val="17"/>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106" w:name="附 6：关于具备履行合同所必需的设备和专业技术能力和法律、行政法规规定的其他条件"/>
      <w:bookmarkEnd w:id="106"/>
      <w:r>
        <w:rPr>
          <w:rFonts w:hint="eastAsia" w:ascii="仿宋" w:hAnsi="仿宋" w:eastAsia="仿宋" w:cs="仿宋"/>
          <w:highlight w:val="none"/>
        </w:rPr>
        <w:t>附 6：关于具备履行合同所必需的设备和专业技术能力和法律、行政法规规定的其他条件的承诺函</w:t>
      </w:r>
    </w:p>
    <w:p>
      <w:pPr>
        <w:pStyle w:val="10"/>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0"/>
        <w:numPr>
          <w:ilvl w:val="0"/>
          <w:numId w:val="47"/>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0"/>
        <w:numPr>
          <w:ilvl w:val="0"/>
          <w:numId w:val="47"/>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6"/>
        </w:rPr>
      </w:pPr>
    </w:p>
    <w:p>
      <w:pPr>
        <w:pStyle w:val="10"/>
        <w:tabs>
          <w:tab w:val="left" w:pos="7242"/>
        </w:tabs>
        <w:ind w:left="318"/>
        <w:rPr>
          <w:rFonts w:hint="eastAsia" w:ascii="仿宋" w:hAnsi="仿宋" w:eastAsia="仿宋" w:cs="仿宋"/>
        </w:rPr>
      </w:pPr>
    </w:p>
    <w:p>
      <w:pPr>
        <w:pStyle w:val="10"/>
        <w:spacing w:before="9"/>
        <w:rPr>
          <w:rFonts w:hint="eastAsia" w:ascii="仿宋" w:hAnsi="仿宋" w:eastAsia="仿宋" w:cs="仿宋"/>
          <w:sz w:val="17"/>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107" w:name="附 7：非联合体投标承诺函"/>
      <w:bookmarkEnd w:id="107"/>
      <w:r>
        <w:rPr>
          <w:rFonts w:hint="eastAsia" w:ascii="仿宋" w:hAnsi="仿宋" w:eastAsia="仿宋" w:cs="仿宋"/>
          <w:highlight w:val="none"/>
        </w:rPr>
        <w:t>附 7：</w:t>
      </w:r>
      <w:r>
        <w:rPr>
          <w:rFonts w:hint="eastAsia" w:ascii="仿宋" w:hAnsi="仿宋" w:eastAsia="仿宋" w:cs="仿宋"/>
          <w:highlight w:val="none"/>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spacing w:before="0"/>
        <w:ind w:left="0" w:right="131" w:firstLine="0"/>
        <w:jc w:val="center"/>
        <w:rPr>
          <w:rFonts w:hint="eastAsia" w:ascii="仿宋" w:hAnsi="仿宋" w:eastAsia="仿宋" w:cs="仿宋"/>
          <w:b/>
          <w:sz w:val="32"/>
        </w:rPr>
      </w:pPr>
    </w:p>
    <w:p>
      <w:pPr>
        <w:pStyle w:val="9"/>
        <w:spacing w:before="274"/>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274"/>
        <w:rPr>
          <w:rFonts w:hint="eastAsia" w:ascii="仿宋" w:hAnsi="仿宋" w:eastAsia="仿宋" w:cs="仿宋"/>
        </w:rPr>
      </w:pPr>
    </w:p>
    <w:p>
      <w:pPr>
        <w:pStyle w:val="10"/>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0"/>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1"/>
        <w:rPr>
          <w:rFonts w:hint="eastAsia" w:ascii="仿宋" w:hAnsi="仿宋" w:eastAsia="仿宋" w:cs="仿宋"/>
          <w:color w:val="000000"/>
          <w:highlight w:val="none"/>
          <w:u w:val="none"/>
          <w:lang w:val="en-US" w:eastAsia="zh-CN"/>
        </w:rPr>
      </w:pPr>
    </w:p>
    <w:p>
      <w:pPr>
        <w:pStyle w:val="21"/>
        <w:rPr>
          <w:rFonts w:hint="eastAsia" w:ascii="仿宋" w:hAnsi="仿宋" w:eastAsia="仿宋" w:cs="仿宋"/>
          <w:color w:val="000000"/>
          <w:highlight w:val="none"/>
          <w:u w:val="none"/>
          <w:lang w:val="en-US" w:eastAsia="zh-CN"/>
        </w:rPr>
      </w:pPr>
    </w:p>
    <w:p>
      <w:pPr>
        <w:pStyle w:val="21"/>
        <w:rPr>
          <w:rFonts w:hint="eastAsia" w:ascii="仿宋" w:hAnsi="仿宋" w:eastAsia="仿宋" w:cs="仿宋"/>
          <w:color w:val="000000"/>
          <w:highlight w:val="none"/>
          <w:u w:val="none"/>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pStyle w:val="10"/>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bCs/>
          <w:sz w:val="28"/>
          <w:szCs w:val="28"/>
          <w:highlight w:val="none"/>
          <w:lang w:val="en-US" w:eastAsia="zh-CN" w:bidi="zh-CN"/>
        </w:rPr>
      </w:pPr>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8</w:t>
      </w:r>
      <w:r>
        <w:rPr>
          <w:rFonts w:hint="eastAsia" w:ascii="仿宋" w:hAnsi="仿宋" w:eastAsia="仿宋" w:cs="仿宋"/>
          <w:b/>
          <w:bCs/>
          <w:sz w:val="28"/>
          <w:szCs w:val="28"/>
          <w:highlight w:val="none"/>
          <w:lang w:val="zh-CN" w:eastAsia="zh-CN" w:bidi="zh-CN"/>
        </w:rPr>
        <w:t>：</w:t>
      </w:r>
      <w:r>
        <w:rPr>
          <w:rFonts w:hint="eastAsia" w:ascii="仿宋" w:hAnsi="仿宋" w:eastAsia="仿宋" w:cs="仿宋"/>
          <w:b/>
          <w:bCs/>
          <w:sz w:val="28"/>
          <w:szCs w:val="28"/>
          <w:highlight w:val="none"/>
          <w:lang w:val="en-US" w:eastAsia="zh-CN" w:bidi="zh-CN"/>
        </w:rPr>
        <w:t>非联合体响应，不允许分包和转包承诺函</w:t>
      </w:r>
    </w:p>
    <w:p>
      <w:pPr>
        <w:rPr>
          <w:rFonts w:hint="eastAsia"/>
        </w:rPr>
      </w:pPr>
    </w:p>
    <w:p>
      <w:pPr>
        <w:spacing w:before="234"/>
        <w:ind w:left="72" w:right="18" w:firstLine="0"/>
        <w:jc w:val="center"/>
        <w:rPr>
          <w:rFonts w:hint="eastAsia" w:ascii="仿宋" w:hAnsi="仿宋" w:eastAsia="仿宋" w:cs="仿宋"/>
          <w:b/>
          <w:sz w:val="28"/>
        </w:rPr>
      </w:pPr>
      <w:r>
        <w:rPr>
          <w:rFonts w:hint="eastAsia" w:ascii="仿宋" w:hAnsi="仿宋" w:eastAsia="仿宋" w:cs="仿宋"/>
          <w:b/>
          <w:sz w:val="32"/>
          <w:szCs w:val="24"/>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9"/>
        <w:spacing w:before="70"/>
        <w:ind w:left="318" w:leftChars="0" w:hanging="318" w:hangingChars="151"/>
        <w:rPr>
          <w:rFonts w:hint="eastAsia" w:ascii="仿宋" w:hAnsi="仿宋" w:eastAsia="仿宋" w:cs="仿宋"/>
          <w:sz w:val="21"/>
          <w:szCs w:val="21"/>
          <w:lang w:eastAsia="zh-CN"/>
        </w:rPr>
      </w:pPr>
      <w:r>
        <w:rPr>
          <w:rFonts w:hint="eastAsia" w:ascii="仿宋" w:hAnsi="仿宋" w:eastAsia="仿宋" w:cs="仿宋"/>
          <w:sz w:val="21"/>
          <w:szCs w:val="21"/>
        </w:rPr>
        <w:t>致</w:t>
      </w:r>
      <w:r>
        <w:rPr>
          <w:rFonts w:hint="eastAsia" w:ascii="仿宋" w:hAnsi="仿宋" w:eastAsia="仿宋" w:cs="仿宋"/>
          <w:sz w:val="21"/>
          <w:szCs w:val="21"/>
          <w:lang w:eastAsia="zh-CN"/>
        </w:rPr>
        <w:t>：广东至臻项目管理有限公司</w:t>
      </w:r>
    </w:p>
    <w:p>
      <w:pPr>
        <w:pStyle w:val="10"/>
        <w:rPr>
          <w:rFonts w:hint="eastAsia" w:ascii="仿宋" w:hAnsi="仿宋" w:eastAsia="仿宋" w:cs="仿宋"/>
          <w:b/>
          <w:sz w:val="21"/>
          <w:szCs w:val="21"/>
        </w:rPr>
      </w:pPr>
    </w:p>
    <w:p>
      <w:pPr>
        <w:pStyle w:val="10"/>
        <w:spacing w:before="1"/>
        <w:rPr>
          <w:rFonts w:hint="eastAsia" w:ascii="仿宋" w:hAnsi="仿宋" w:eastAsia="仿宋" w:cs="仿宋"/>
          <w:b/>
          <w:spacing w:val="0"/>
          <w:sz w:val="21"/>
          <w:szCs w:val="21"/>
        </w:rPr>
      </w:pP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我公司</w:t>
      </w:r>
      <w:r>
        <w:rPr>
          <w:rFonts w:hint="eastAsia" w:ascii="仿宋" w:hAnsi="仿宋" w:eastAsia="仿宋" w:cs="仿宋"/>
          <w:spacing w:val="0"/>
          <w:sz w:val="21"/>
          <w:szCs w:val="21"/>
          <w:u w:val="single"/>
        </w:rPr>
        <w:t>（</w:t>
      </w:r>
      <w:r>
        <w:rPr>
          <w:rFonts w:hint="eastAsia" w:ascii="仿宋" w:hAnsi="仿宋" w:eastAsia="仿宋" w:cs="仿宋"/>
          <w:spacing w:val="0"/>
          <w:sz w:val="21"/>
          <w:szCs w:val="21"/>
          <w:u w:val="single"/>
          <w:lang w:val="en-US" w:eastAsia="zh-CN"/>
        </w:rPr>
        <w:t>响应供应商名称</w:t>
      </w:r>
      <w:r>
        <w:rPr>
          <w:rFonts w:hint="eastAsia" w:ascii="仿宋" w:hAnsi="仿宋" w:eastAsia="仿宋" w:cs="仿宋"/>
          <w:spacing w:val="0"/>
          <w:sz w:val="21"/>
          <w:szCs w:val="21"/>
          <w:u w:val="single"/>
        </w:rPr>
        <w:t>）</w:t>
      </w:r>
      <w:r>
        <w:rPr>
          <w:rFonts w:hint="eastAsia" w:ascii="仿宋" w:hAnsi="仿宋" w:eastAsia="仿宋" w:cs="仿宋"/>
          <w:spacing w:val="0"/>
          <w:sz w:val="21"/>
          <w:szCs w:val="21"/>
        </w:rPr>
        <w:t>参加（项目名称：</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,项目</w:t>
      </w:r>
      <w:r>
        <w:rPr>
          <w:rFonts w:hint="eastAsia" w:ascii="仿宋" w:hAnsi="仿宋" w:eastAsia="仿宋" w:cs="仿宋"/>
          <w:spacing w:val="0"/>
          <w:sz w:val="21"/>
          <w:szCs w:val="21"/>
        </w:rPr>
        <w:t>编号：</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rPr>
        <w:t>）的竞争性谈判会议，非联合体</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不对此次采购项目进行分包和转包</w:t>
      </w:r>
      <w:r>
        <w:rPr>
          <w:rFonts w:hint="eastAsia" w:ascii="仿宋" w:hAnsi="仿宋" w:eastAsia="仿宋" w:cs="仿宋"/>
          <w:spacing w:val="0"/>
          <w:sz w:val="21"/>
          <w:szCs w:val="21"/>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sz w:val="21"/>
          <w:szCs w:val="21"/>
          <w:lang w:val="en-US" w:eastAsia="zh-CN"/>
        </w:rPr>
      </w:pPr>
    </w:p>
    <w:p>
      <w:pPr>
        <w:pStyle w:val="10"/>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32"/>
          <w:szCs w:val="24"/>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9"/>
        <w:spacing w:before="70"/>
        <w:ind w:left="318" w:leftChars="0" w:hanging="318" w:hangingChars="15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
        <w:rPr>
          <w:rFonts w:hint="eastAsia" w:ascii="仿宋" w:hAnsi="仿宋" w:eastAsia="仿宋" w:cs="仿宋"/>
          <w:b/>
          <w:spacing w:val="0"/>
          <w:sz w:val="23"/>
        </w:rPr>
      </w:pP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tabs>
          <w:tab w:val="left" w:pos="6267"/>
          <w:tab w:val="left" w:pos="9507"/>
        </w:tabs>
        <w:spacing w:before="66"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pacing w:val="0"/>
          <w:sz w:val="21"/>
          <w:szCs w:val="21"/>
          <w:lang w:val="zh-CN" w:eastAsia="zh-CN" w:bidi="zh-CN"/>
        </w:rPr>
      </w:pPr>
      <w:r>
        <w:rPr>
          <w:rFonts w:hint="eastAsia" w:ascii="仿宋" w:hAnsi="仿宋" w:eastAsia="仿宋" w:cs="仿宋"/>
          <w:b w:val="0"/>
          <w:bCs w:val="0"/>
          <w:spacing w:val="0"/>
          <w:sz w:val="21"/>
          <w:szCs w:val="21"/>
          <w:lang w:val="zh-CN" w:eastAsia="zh-CN" w:bidi="zh-CN"/>
        </w:rPr>
        <w:t>日期：</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年</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月</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日</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ind w:left="0" w:leftChars="0" w:firstLine="0" w:firstLineChars="0"/>
        <w:rPr>
          <w:rFonts w:hint="eastAsia" w:ascii="仿宋" w:hAnsi="仿宋" w:eastAsia="仿宋" w:cs="仿宋"/>
        </w:rPr>
      </w:pPr>
      <w:bookmarkStart w:id="108" w:name="附 8：政策适用性说明文件（如有）"/>
      <w:bookmarkEnd w:id="108"/>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10"/>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仿宋" w:hAnsi="仿宋" w:eastAsia="仿宋" w:cs="仿宋"/>
          <w:b/>
          <w:sz w:val="28"/>
        </w:rPr>
        <w:t>（一）</w:t>
      </w:r>
      <w:r>
        <w:rPr>
          <w:rFonts w:hint="eastAsia" w:ascii="宋体" w:hAnsi="宋体" w:eastAsia="宋体" w:cs="宋体"/>
          <w:b/>
          <w:bCs/>
          <w:color w:val="000000"/>
          <w:kern w:val="0"/>
          <w:sz w:val="32"/>
          <w:szCs w:val="32"/>
          <w:lang w:val="en-US" w:eastAsia="zh-CN" w:bidi="ar"/>
        </w:rPr>
        <w:t>中小企业声明函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sz w:val="21"/>
          <w:szCs w:val="21"/>
        </w:rPr>
      </w:pPr>
      <w:r>
        <w:rPr>
          <w:rFonts w:ascii="仿宋" w:hAnsi="仿宋" w:eastAsia="仿宋" w:cs="仿宋"/>
          <w:color w:val="000000"/>
          <w:kern w:val="0"/>
          <w:sz w:val="21"/>
          <w:szCs w:val="21"/>
          <w:lang w:val="en-US" w:eastAsia="zh-CN" w:bidi="ar"/>
        </w:rPr>
        <w:t>本公司（联合体）郑重声明，根据《政府采购促进中小</w:t>
      </w:r>
      <w:r>
        <w:rPr>
          <w:rFonts w:hint="eastAsia" w:ascii="仿宋" w:hAnsi="仿宋" w:eastAsia="仿宋" w:cs="仿宋"/>
          <w:color w:val="000000"/>
          <w:kern w:val="0"/>
          <w:sz w:val="21"/>
          <w:szCs w:val="21"/>
          <w:lang w:val="en-US" w:eastAsia="zh-CN" w:bidi="ar"/>
        </w:rPr>
        <w:t>企业发展管理办法》（财库</w:t>
      </w:r>
      <w:r>
        <w:rPr>
          <w:rFonts w:hint="eastAsia" w:ascii="宋体" w:hAnsi="宋体" w:eastAsia="宋体" w:cs="宋体"/>
          <w:color w:val="000000"/>
          <w:kern w:val="0"/>
          <w:sz w:val="21"/>
          <w:szCs w:val="21"/>
          <w:lang w:val="en-US" w:eastAsia="zh-CN" w:bidi="ar"/>
        </w:rPr>
        <w:t>﹝</w:t>
      </w:r>
      <w:r>
        <w:rPr>
          <w:rFonts w:hint="eastAsia" w:ascii="仿宋" w:hAnsi="仿宋" w:eastAsia="仿宋" w:cs="仿宋"/>
          <w:color w:val="000000"/>
          <w:kern w:val="0"/>
          <w:sz w:val="21"/>
          <w:szCs w:val="21"/>
          <w:lang w:val="en-US" w:eastAsia="zh-CN" w:bidi="ar"/>
        </w:rPr>
        <w:t>2020</w:t>
      </w:r>
      <w:r>
        <w:rPr>
          <w:rFonts w:hint="eastAsia" w:ascii="宋体" w:hAnsi="宋体" w:eastAsia="宋体" w:cs="宋体"/>
          <w:color w:val="000000"/>
          <w:kern w:val="0"/>
          <w:sz w:val="21"/>
          <w:szCs w:val="21"/>
          <w:lang w:val="en-US" w:eastAsia="zh-CN" w:bidi="ar"/>
        </w:rPr>
        <w:t>﹞</w:t>
      </w:r>
      <w:r>
        <w:rPr>
          <w:rFonts w:hint="eastAsia" w:ascii="仿宋" w:hAnsi="仿宋" w:eastAsia="仿宋" w:cs="仿宋"/>
          <w:color w:val="000000"/>
          <w:kern w:val="0"/>
          <w:sz w:val="21"/>
          <w:szCs w:val="21"/>
          <w:lang w:val="en-US" w:eastAsia="zh-CN" w:bidi="ar"/>
        </w:rPr>
        <w:t>46号）的规定，本公司（联合体）参加</w:t>
      </w:r>
      <w:r>
        <w:rPr>
          <w:rFonts w:hint="eastAsia" w:ascii="仿宋" w:hAnsi="仿宋" w:eastAsia="仿宋" w:cs="仿宋"/>
          <w:i/>
          <w:iCs/>
          <w:color w:val="000000"/>
          <w:kern w:val="0"/>
          <w:sz w:val="21"/>
          <w:szCs w:val="21"/>
          <w:u w:val="single"/>
          <w:lang w:val="en-US" w:eastAsia="zh-CN" w:bidi="ar"/>
        </w:rPr>
        <w:t>（单位名称）</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（项目名称）</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i/>
          <w:iCs/>
          <w:color w:val="000000"/>
          <w:kern w:val="0"/>
          <w:sz w:val="21"/>
          <w:szCs w:val="21"/>
          <w:u w:val="single"/>
          <w:lang w:val="en-US" w:eastAsia="zh-CN" w:bidi="ar"/>
        </w:rPr>
        <w:t xml:space="preserve">（标的名称） </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万元1，属于</w:t>
      </w:r>
      <w:r>
        <w:rPr>
          <w:rFonts w:hint="eastAsia" w:ascii="仿宋" w:hAnsi="仿宋" w:eastAsia="仿宋" w:cs="仿宋"/>
          <w:i/>
          <w:iCs/>
          <w:color w:val="000000"/>
          <w:kern w:val="0"/>
          <w:sz w:val="21"/>
          <w:szCs w:val="21"/>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 xml:space="preserve"> （标的名称） </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1"/>
          <w:szCs w:val="21"/>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0"/>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本企业对上述声明内容的真实性负责。如有虚假，将依法承担相应责任。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0"/>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0"/>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keepNext w:val="0"/>
        <w:keepLines w:val="0"/>
        <w:widowControl/>
        <w:suppressLineNumbers w:val="0"/>
        <w:spacing w:line="360" w:lineRule="auto"/>
        <w:ind w:left="0" w:leftChars="0" w:firstLine="660" w:firstLineChars="300"/>
        <w:jc w:val="left"/>
        <w:rPr>
          <w:rFonts w:hint="eastAsia" w:ascii="仿宋" w:hAnsi="仿宋" w:eastAsia="仿宋" w:cs="仿宋"/>
          <w:color w:val="000000"/>
          <w:kern w:val="0"/>
          <w:sz w:val="21"/>
          <w:szCs w:val="21"/>
          <w:lang w:val="en-US" w:eastAsia="zh-CN" w:bidi="ar"/>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pStyle w:val="14"/>
        <w:rPr>
          <w:sz w:val="21"/>
          <w:szCs w:val="21"/>
        </w:rPr>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1"/>
          <w:szCs w:val="21"/>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1"/>
          <w:szCs w:val="21"/>
          <w:lang w:val="en-US" w:eastAsia="zh-CN" w:bidi="ar"/>
        </w:rPr>
        <w:t>日 期：</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4"/>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38"/>
        <w:ind w:right="1285"/>
        <w:jc w:val="center"/>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0"/>
        <w:spacing w:before="1"/>
        <w:rPr>
          <w:rFonts w:hint="eastAsia" w:ascii="仿宋" w:hAnsi="仿宋" w:eastAsia="仿宋" w:cs="仿宋"/>
          <w:color w:val="000000"/>
          <w:sz w:val="32"/>
          <w:szCs w:val="32"/>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0"/>
        <w:rPr>
          <w:rFonts w:hint="eastAsia" w:ascii="仿宋" w:hAnsi="仿宋" w:eastAsia="仿宋" w:cs="仿宋"/>
          <w:color w:val="000000"/>
          <w:sz w:val="21"/>
          <w:szCs w:val="21"/>
          <w:highlight w:val="none"/>
        </w:rPr>
      </w:pPr>
    </w:p>
    <w:p>
      <w:pPr>
        <w:pStyle w:val="10"/>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0"/>
        <w:spacing w:before="5"/>
        <w:rPr>
          <w:rFonts w:hint="eastAsia" w:ascii="仿宋" w:hAnsi="仿宋" w:eastAsia="仿宋" w:cs="仿宋"/>
          <w:color w:val="000000"/>
          <w:sz w:val="21"/>
          <w:szCs w:val="21"/>
          <w:highlight w:val="none"/>
        </w:rPr>
      </w:pPr>
    </w:p>
    <w:p>
      <w:pPr>
        <w:ind w:left="0" w:leftChars="0" w:firstLine="879" w:firstLineChars="419"/>
        <w:rPr>
          <w:rFonts w:hint="eastAsia"/>
          <w:sz w:val="21"/>
          <w:szCs w:val="21"/>
        </w:rPr>
      </w:pPr>
    </w:p>
    <w:p>
      <w:pPr>
        <w:adjustRightInd w:val="0"/>
        <w:snapToGrid w:val="0"/>
        <w:spacing w:line="480" w:lineRule="auto"/>
        <w:ind w:left="0" w:leftChars="0" w:firstLine="879" w:firstLineChars="419"/>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pStyle w:val="14"/>
        <w:ind w:left="0" w:leftChars="0" w:firstLine="879" w:firstLineChars="419"/>
        <w:rPr>
          <w:rFonts w:hint="eastAsia" w:ascii="仿宋" w:hAnsi="仿宋" w:eastAsia="仿宋" w:cs="仿宋"/>
          <w:sz w:val="21"/>
          <w:szCs w:val="21"/>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10"/>
        <w:rPr>
          <w:rFonts w:hint="eastAsia" w:ascii="仿宋" w:hAnsi="仿宋" w:eastAsia="仿宋" w:cs="仿宋"/>
        </w:rPr>
      </w:pPr>
    </w:p>
    <w:p>
      <w:pPr>
        <w:pStyle w:val="6"/>
        <w:ind w:left="0" w:right="171"/>
        <w:jc w:val="center"/>
        <w:rPr>
          <w:rFonts w:hint="eastAsia" w:ascii="仿宋" w:hAnsi="仿宋" w:eastAsia="仿宋" w:cs="仿宋"/>
          <w:sz w:val="32"/>
          <w:szCs w:val="32"/>
        </w:rPr>
      </w:pPr>
      <w:bookmarkStart w:id="109" w:name="（三）残疾人福利性单位声明函"/>
      <w:bookmarkEnd w:id="109"/>
      <w:r>
        <w:rPr>
          <w:rFonts w:hint="eastAsia" w:ascii="仿宋" w:hAnsi="仿宋" w:eastAsia="仿宋" w:cs="仿宋"/>
          <w:sz w:val="32"/>
          <w:szCs w:val="32"/>
        </w:rPr>
        <w:t>（三）残疾人福利性单位声明函</w:t>
      </w:r>
    </w:p>
    <w:p>
      <w:pPr>
        <w:pStyle w:val="10"/>
        <w:rPr>
          <w:rFonts w:hint="eastAsia" w:ascii="仿宋" w:hAnsi="仿宋" w:eastAsia="仿宋" w:cs="仿宋"/>
          <w:b/>
          <w:sz w:val="28"/>
        </w:rPr>
      </w:pPr>
    </w:p>
    <w:p>
      <w:pPr>
        <w:pStyle w:val="10"/>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sz w:val="21"/>
          <w:szCs w:val="21"/>
        </w:rPr>
      </w:pPr>
      <w:r>
        <w:rPr>
          <w:rFonts w:hint="eastAsia" w:ascii="仿宋" w:hAnsi="仿宋" w:eastAsia="仿宋" w:cs="仿宋"/>
          <w:sz w:val="21"/>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sz w:val="21"/>
          <w:szCs w:val="21"/>
          <w:lang w:val="en-US" w:eastAsia="zh-CN"/>
        </w:rPr>
        <w:t>贵</w:t>
      </w:r>
      <w:r>
        <w:rPr>
          <w:rFonts w:hint="eastAsia" w:ascii="仿宋" w:hAnsi="仿宋" w:eastAsia="仿宋" w:cs="仿宋"/>
          <w:sz w:val="21"/>
          <w:szCs w:val="21"/>
        </w:rPr>
        <w:t>单位的</w:t>
      </w:r>
      <w:r>
        <w:rPr>
          <w:rFonts w:hint="eastAsia" w:ascii="仿宋" w:hAnsi="仿宋" w:eastAsia="仿宋" w:cs="仿宋"/>
          <w:sz w:val="21"/>
          <w:szCs w:val="21"/>
          <w:u w:val="single"/>
          <w:lang w:eastAsia="zh-CN"/>
        </w:rPr>
        <w:t>（</w:t>
      </w:r>
      <w:r>
        <w:rPr>
          <w:rFonts w:hint="eastAsia" w:ascii="仿宋" w:hAnsi="仿宋" w:eastAsia="仿宋" w:cs="仿宋"/>
          <w:sz w:val="21"/>
          <w:szCs w:val="21"/>
          <w:u w:val="single"/>
          <w:lang w:val="en-US" w:eastAsia="zh-CN"/>
        </w:rPr>
        <w:t>项目名称</w:t>
      </w:r>
      <w:r>
        <w:rPr>
          <w:rFonts w:hint="eastAsia" w:ascii="仿宋" w:hAnsi="仿宋" w:eastAsia="仿宋" w:cs="仿宋"/>
          <w:sz w:val="21"/>
          <w:szCs w:val="21"/>
          <w:u w:val="single"/>
          <w:lang w:eastAsia="zh-CN"/>
        </w:rPr>
        <w:t>）</w:t>
      </w:r>
      <w:r>
        <w:rPr>
          <w:rFonts w:hint="eastAsia" w:ascii="仿宋" w:hAnsi="仿宋" w:eastAsia="仿宋" w:cs="仿宋"/>
          <w:sz w:val="21"/>
          <w:szCs w:val="21"/>
        </w:rPr>
        <w:t>项目采购活动提供本单位制造的货物（由本单位承担工程/提供服</w:t>
      </w:r>
      <w:r>
        <w:rPr>
          <w:rFonts w:hint="eastAsia" w:ascii="仿宋" w:hAnsi="仿宋" w:eastAsia="仿宋" w:cs="仿宋"/>
          <w:spacing w:val="4"/>
          <w:sz w:val="21"/>
          <w:szCs w:val="21"/>
        </w:rPr>
        <w:t>务），或者提供其</w:t>
      </w:r>
      <w:r>
        <w:rPr>
          <w:rFonts w:hint="eastAsia" w:ascii="仿宋" w:hAnsi="仿宋" w:eastAsia="仿宋" w:cs="仿宋"/>
          <w:spacing w:val="7"/>
          <w:sz w:val="21"/>
          <w:szCs w:val="21"/>
        </w:rPr>
        <w:t>他</w:t>
      </w:r>
      <w:r>
        <w:rPr>
          <w:rFonts w:hint="eastAsia" w:ascii="仿宋" w:hAnsi="仿宋" w:eastAsia="仿宋" w:cs="仿宋"/>
          <w:spacing w:val="4"/>
          <w:sz w:val="21"/>
          <w:szCs w:val="21"/>
        </w:rPr>
        <w:t>残疾人福利性单位制造的货物（不包括</w:t>
      </w:r>
      <w:r>
        <w:rPr>
          <w:rFonts w:hint="eastAsia" w:ascii="仿宋" w:hAnsi="仿宋" w:eastAsia="仿宋" w:cs="仿宋"/>
          <w:spacing w:val="7"/>
          <w:sz w:val="21"/>
          <w:szCs w:val="21"/>
        </w:rPr>
        <w:t>使</w:t>
      </w:r>
      <w:r>
        <w:rPr>
          <w:rFonts w:hint="eastAsia" w:ascii="仿宋" w:hAnsi="仿宋" w:eastAsia="仿宋" w:cs="仿宋"/>
          <w:spacing w:val="4"/>
          <w:sz w:val="21"/>
          <w:szCs w:val="21"/>
        </w:rPr>
        <w:t>用非残疾人福利性单位注册</w:t>
      </w:r>
      <w:r>
        <w:rPr>
          <w:rFonts w:hint="eastAsia" w:ascii="仿宋" w:hAnsi="仿宋" w:eastAsia="仿宋" w:cs="仿宋"/>
          <w:sz w:val="21"/>
          <w:szCs w:val="21"/>
        </w:rPr>
        <w:t>商标的货物）。</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sz w:val="21"/>
          <w:szCs w:val="21"/>
        </w:rPr>
      </w:pPr>
      <w:r>
        <w:rPr>
          <w:rFonts w:hint="eastAsia" w:ascii="仿宋" w:hAnsi="仿宋" w:eastAsia="仿宋" w:cs="仿宋"/>
          <w:sz w:val="21"/>
          <w:szCs w:val="21"/>
        </w:rPr>
        <w:t>本单位对上述声明的真实性负责。如有虚假，将依法承担相应责任。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sz w:val="21"/>
          <w:szCs w:val="21"/>
        </w:rPr>
      </w:pPr>
      <w:r>
        <w:rPr>
          <w:rFonts w:hint="eastAsia" w:ascii="仿宋" w:hAnsi="仿宋" w:eastAsia="仿宋" w:cs="仿宋"/>
          <w:sz w:val="21"/>
          <w:szCs w:val="21"/>
        </w:rPr>
        <w:t>注：若响应供应商不是残疾人福利性单位，可不提供此函。</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28"/>
        </w:rPr>
      </w:pPr>
    </w:p>
    <w:p>
      <w:pPr>
        <w:pStyle w:val="10"/>
        <w:spacing w:before="1"/>
        <w:rPr>
          <w:rFonts w:hint="eastAsia" w:ascii="仿宋" w:hAnsi="仿宋" w:eastAsia="仿宋" w:cs="仿宋"/>
          <w:sz w:val="11"/>
        </w:rPr>
      </w:pPr>
    </w:p>
    <w:p>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eastAsia="zh-CN"/>
        </w:rPr>
        <w:t>盖章</w:t>
      </w:r>
      <w:r>
        <w:rPr>
          <w:rFonts w:hint="eastAsia" w:ascii="仿宋" w:hAnsi="仿宋" w:eastAsia="仿宋" w:cs="仿宋"/>
          <w:color w:val="000000"/>
          <w:sz w:val="21"/>
          <w:szCs w:val="21"/>
          <w:highlight w:val="none"/>
        </w:rPr>
        <w:t>）：</w:t>
      </w:r>
    </w:p>
    <w:p>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   年   月   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4"/>
        </w:numPr>
        <w:tabs>
          <w:tab w:val="left" w:pos="880"/>
        </w:tabs>
        <w:spacing w:before="62" w:after="0" w:line="240" w:lineRule="auto"/>
        <w:ind w:left="880" w:right="0" w:hanging="565"/>
        <w:jc w:val="left"/>
        <w:rPr>
          <w:rFonts w:hint="eastAsia" w:ascii="仿宋" w:hAnsi="仿宋" w:eastAsia="仿宋" w:cs="仿宋"/>
          <w:lang w:val="en-US" w:eastAsia="zh-CN"/>
        </w:rPr>
      </w:pPr>
      <w:r>
        <w:rPr>
          <w:rFonts w:hint="eastAsia" w:ascii="仿宋" w:hAnsi="仿宋" w:eastAsia="仿宋" w:cs="仿宋"/>
          <w:lang w:val="en-US" w:eastAsia="zh-CN"/>
        </w:rPr>
        <w:t>其他资格要求证明文件格式</w:t>
      </w: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8"/>
          <w:szCs w:val="28"/>
          <w:highlight w:val="none"/>
          <w:lang w:val="en-US" w:eastAsia="zh-CN"/>
        </w:rPr>
      </w:pPr>
      <w:bookmarkStart w:id="110" w:name="_Hlt10549792"/>
      <w:bookmarkEnd w:id="110"/>
      <w:r>
        <w:rPr>
          <w:rFonts w:hint="eastAsia" w:ascii="仿宋" w:hAnsi="仿宋" w:eastAsia="仿宋" w:cs="仿宋"/>
          <w:b/>
          <w:bCs w:val="0"/>
          <w:color w:val="000000"/>
          <w:sz w:val="28"/>
          <w:szCs w:val="28"/>
          <w:highlight w:val="none"/>
          <w:lang w:val="en-US" w:eastAsia="zh-CN"/>
        </w:rPr>
        <w:t>需提供的资料详见《第一部分 谈判邀请函</w:t>
      </w:r>
      <w:r>
        <w:rPr>
          <w:rFonts w:hint="eastAsia" w:ascii="仿宋" w:hAnsi="仿宋" w:eastAsia="仿宋" w:cs="仿宋"/>
          <w:b/>
          <w:bCs w:val="0"/>
          <w:color w:val="000000"/>
          <w:sz w:val="28"/>
          <w:szCs w:val="28"/>
          <w:highlight w:val="none"/>
        </w:rPr>
        <w:t>中“供应商资格</w:t>
      </w:r>
      <w:r>
        <w:rPr>
          <w:rFonts w:hint="eastAsia" w:ascii="仿宋" w:hAnsi="仿宋" w:eastAsia="仿宋" w:cs="仿宋"/>
          <w:b/>
          <w:bCs w:val="0"/>
          <w:color w:val="000000"/>
          <w:sz w:val="28"/>
          <w:szCs w:val="28"/>
          <w:highlight w:val="none"/>
          <w:lang w:val="en-US" w:eastAsia="zh-CN"/>
        </w:rPr>
        <w:t>要求</w:t>
      </w:r>
      <w:r>
        <w:rPr>
          <w:rFonts w:hint="eastAsia" w:ascii="仿宋" w:hAnsi="仿宋" w:eastAsia="仿宋" w:cs="仿宋"/>
          <w:b/>
          <w:bCs w:val="0"/>
          <w:color w:val="000000"/>
          <w:sz w:val="28"/>
          <w:szCs w:val="28"/>
          <w:highlight w:val="none"/>
        </w:rPr>
        <w:t>”</w:t>
      </w:r>
      <w:r>
        <w:rPr>
          <w:rFonts w:hint="eastAsia" w:ascii="仿宋" w:hAnsi="仿宋" w:eastAsia="仿宋" w:cs="仿宋"/>
          <w:b/>
          <w:bCs w:val="0"/>
          <w:color w:val="000000"/>
          <w:sz w:val="28"/>
          <w:szCs w:val="28"/>
          <w:highlight w:val="none"/>
          <w:lang w:val="en-US" w:eastAsia="zh-CN"/>
        </w:rPr>
        <w:t>》，格式自拟</w:t>
      </w:r>
      <w:r>
        <w:rPr>
          <w:rFonts w:hint="eastAsia" w:ascii="仿宋" w:hAnsi="仿宋" w:eastAsia="仿宋" w:cs="仿宋"/>
          <w:b/>
          <w:bCs w:val="0"/>
          <w:spacing w:val="0"/>
          <w:sz w:val="28"/>
          <w:szCs w:val="28"/>
        </w:rPr>
        <w:t>。</w:t>
      </w:r>
    </w:p>
    <w:p>
      <w:pPr>
        <w:pStyle w:val="10"/>
        <w:numPr>
          <w:ilvl w:val="0"/>
          <w:numId w:val="48"/>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pStyle w:val="10"/>
        <w:numPr>
          <w:ilvl w:val="0"/>
          <w:numId w:val="48"/>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10"/>
        <w:numPr>
          <w:ilvl w:val="0"/>
          <w:numId w:val="48"/>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供应商须具有效的行政主管部门颁发的工程监理综合资质，或水利工程施工监理乙级（或以上）资质证书；</w:t>
      </w:r>
    </w:p>
    <w:p>
      <w:pPr>
        <w:pStyle w:val="10"/>
        <w:numPr>
          <w:ilvl w:val="0"/>
          <w:numId w:val="48"/>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w:t>
      </w:r>
    </w:p>
    <w:p>
      <w:pPr>
        <w:pStyle w:val="10"/>
        <w:numPr>
          <w:ilvl w:val="0"/>
          <w:numId w:val="48"/>
        </w:numPr>
        <w:ind w:left="425" w:leftChars="0" w:hanging="425" w:firstLineChars="0"/>
        <w:rPr>
          <w:rFonts w:hint="eastAsia"/>
          <w:lang w:val="zh-CN"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4"/>
        </w:numPr>
        <w:tabs>
          <w:tab w:val="left" w:pos="880"/>
        </w:tabs>
        <w:spacing w:before="62" w:after="0" w:line="240" w:lineRule="auto"/>
        <w:ind w:left="880" w:right="0" w:hanging="565"/>
        <w:jc w:val="left"/>
        <w:rPr>
          <w:rFonts w:hint="eastAsia" w:ascii="仿宋" w:hAnsi="仿宋" w:eastAsia="仿宋" w:cs="仿宋"/>
        </w:rPr>
      </w:pPr>
      <w:bookmarkStart w:id="111" w:name="3.5 服务费承诺书格式"/>
      <w:bookmarkEnd w:id="111"/>
      <w:bookmarkStart w:id="112" w:name="3.5 服务费承诺书格式"/>
      <w:bookmarkEnd w:id="112"/>
      <w:r>
        <w:rPr>
          <w:rFonts w:hint="eastAsia" w:ascii="仿宋" w:hAnsi="仿宋" w:eastAsia="仿宋" w:cs="仿宋"/>
        </w:rPr>
        <w:t>服务费承诺书格式</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15"/>
        </w:rPr>
      </w:pPr>
    </w:p>
    <w:p>
      <w:pPr>
        <w:pStyle w:val="9"/>
        <w:rPr>
          <w:rFonts w:hint="eastAsia" w:ascii="仿宋" w:hAnsi="仿宋" w:eastAsia="仿宋" w:cs="仿宋"/>
          <w:lang w:eastAsia="zh-CN"/>
        </w:rPr>
      </w:pPr>
      <w:bookmarkStart w:id="113" w:name="致：云浮鼎建项目管理咨询有限公司"/>
      <w:bookmarkEnd w:id="113"/>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8"/>
        <w:rPr>
          <w:rFonts w:hint="eastAsia" w:ascii="仿宋" w:hAnsi="仿宋" w:eastAsia="仿宋" w:cs="仿宋"/>
          <w:b/>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10"/>
        <w:spacing w:before="159"/>
        <w:ind w:left="738"/>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1"/>
        <w:rPr>
          <w:rFonts w:hint="eastAsia" w:ascii="仿宋" w:hAnsi="仿宋" w:eastAsia="仿宋" w:cs="仿宋"/>
          <w:sz w:val="29"/>
        </w:rPr>
      </w:pPr>
    </w:p>
    <w:p>
      <w:pPr>
        <w:pStyle w:val="10"/>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5"/>
        <w:spacing w:before="54"/>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bookmarkStart w:id="114" w:name="四、商务部分"/>
      <w:bookmarkEnd w:id="114"/>
    </w:p>
    <w:p>
      <w:pPr>
        <w:pStyle w:val="6"/>
        <w:numPr>
          <w:ilvl w:val="1"/>
          <w:numId w:val="44"/>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lang w:val="en-US" w:eastAsia="zh-CN"/>
        </w:rPr>
        <w:t>同意谈判文件条款声明格式</w:t>
      </w:r>
    </w:p>
    <w:p>
      <w:pPr>
        <w:pStyle w:val="10"/>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同意谈判文件条款声明</w:t>
      </w:r>
    </w:p>
    <w:p>
      <w:pPr>
        <w:pStyle w:val="10"/>
        <w:spacing w:before="6"/>
        <w:rPr>
          <w:b/>
          <w:spacing w:val="0"/>
          <w:sz w:val="31"/>
        </w:rPr>
      </w:pPr>
    </w:p>
    <w:p>
      <w:pPr>
        <w:pStyle w:val="10"/>
        <w:bidi w:val="0"/>
        <w:rPr>
          <w:rFonts w:hint="eastAsia" w:ascii="仿宋" w:hAnsi="仿宋" w:eastAsia="仿宋" w:cs="仿宋"/>
          <w:spacing w:val="0"/>
          <w:sz w:val="21"/>
          <w:szCs w:val="21"/>
        </w:rPr>
      </w:pPr>
      <w:r>
        <w:rPr>
          <w:rFonts w:hint="eastAsia" w:ascii="仿宋" w:hAnsi="仿宋" w:eastAsia="仿宋" w:cs="仿宋"/>
          <w:b/>
          <w:bCs/>
          <w:spacing w:val="0"/>
          <w:sz w:val="21"/>
          <w:szCs w:val="21"/>
          <w:lang w:val="zh-CN" w:eastAsia="zh-CN"/>
        </w:rPr>
        <w:t>致：</w:t>
      </w:r>
      <w:r>
        <w:rPr>
          <w:rFonts w:hint="eastAsia" w:ascii="仿宋" w:hAnsi="仿宋" w:eastAsia="仿宋" w:cs="仿宋"/>
          <w:b/>
          <w:bCs/>
          <w:spacing w:val="0"/>
          <w:sz w:val="21"/>
          <w:szCs w:val="21"/>
          <w:lang w:val="en-US" w:eastAsia="zh-CN"/>
        </w:rPr>
        <w:t>广东至臻项目管理有限公司</w:t>
      </w:r>
    </w:p>
    <w:p>
      <w:pPr>
        <w:pStyle w:val="10"/>
        <w:bidi w:val="0"/>
        <w:rPr>
          <w:rFonts w:hint="eastAsia" w:ascii="仿宋" w:hAnsi="仿宋" w:eastAsia="仿宋" w:cs="仿宋"/>
          <w:spacing w:val="0"/>
          <w:sz w:val="21"/>
          <w:szCs w:val="21"/>
        </w:rPr>
      </w:pPr>
    </w:p>
    <w:p>
      <w:pPr>
        <w:pStyle w:val="10"/>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0"/>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0"/>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5"/>
        <w:tabs>
          <w:tab w:val="left" w:pos="8568"/>
        </w:tabs>
        <w:spacing w:before="54"/>
        <w:ind w:left="0" w:leftChars="0" w:firstLine="0" w:firstLineChars="0"/>
        <w:rPr>
          <w:rFonts w:hint="eastAsia" w:ascii="仿宋" w:hAnsi="仿宋" w:eastAsia="仿宋" w:cs="仿宋"/>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54"/>
        <w:rPr>
          <w:rFonts w:hint="eastAsia" w:ascii="仿宋" w:hAnsi="仿宋" w:eastAsia="仿宋" w:cs="仿宋"/>
        </w:rPr>
      </w:pPr>
      <w:r>
        <w:rPr>
          <w:rFonts w:hint="eastAsia" w:ascii="仿宋" w:hAnsi="仿宋" w:eastAsia="仿宋" w:cs="仿宋"/>
        </w:rPr>
        <w:t>四、商务部分</w:t>
      </w:r>
    </w:p>
    <w:p>
      <w:pPr>
        <w:pStyle w:val="6"/>
        <w:numPr>
          <w:ilvl w:val="1"/>
          <w:numId w:val="49"/>
        </w:numPr>
        <w:tabs>
          <w:tab w:val="left" w:pos="880"/>
        </w:tabs>
        <w:spacing w:before="242" w:after="0" w:line="240" w:lineRule="auto"/>
        <w:ind w:left="880" w:right="0" w:hanging="565"/>
        <w:jc w:val="left"/>
        <w:rPr>
          <w:rFonts w:hint="eastAsia" w:ascii="仿宋" w:hAnsi="仿宋" w:eastAsia="仿宋" w:cs="仿宋"/>
        </w:rPr>
      </w:pPr>
      <w:bookmarkStart w:id="115" w:name="4.1 响应供应商综合概况"/>
      <w:bookmarkEnd w:id="115"/>
      <w:bookmarkStart w:id="116" w:name="4.1 响应供应商综合概况"/>
      <w:bookmarkEnd w:id="116"/>
      <w:r>
        <w:rPr>
          <w:rFonts w:hint="eastAsia" w:ascii="仿宋" w:hAnsi="仿宋" w:eastAsia="仿宋" w:cs="仿宋"/>
        </w:rPr>
        <w:t>响应供应商综合概况</w:t>
      </w:r>
    </w:p>
    <w:p>
      <w:pPr>
        <w:pStyle w:val="7"/>
        <w:spacing w:before="217"/>
        <w:ind w:left="318"/>
        <w:jc w:val="center"/>
        <w:rPr>
          <w:rFonts w:hint="eastAsia" w:ascii="仿宋" w:hAnsi="仿宋" w:eastAsia="仿宋" w:cs="仿宋"/>
          <w:sz w:val="28"/>
          <w:szCs w:val="28"/>
        </w:rPr>
      </w:pPr>
      <w:bookmarkStart w:id="117" w:name="响应供应商情况介绍表"/>
      <w:bookmarkEnd w:id="117"/>
      <w:r>
        <w:rPr>
          <w:rFonts w:hint="eastAsia" w:ascii="仿宋" w:hAnsi="仿宋" w:eastAsia="仿宋" w:cs="仿宋"/>
          <w:sz w:val="28"/>
          <w:szCs w:val="28"/>
        </w:rPr>
        <w:t>供应商情况介绍表</w:t>
      </w:r>
    </w:p>
    <w:tbl>
      <w:tblPr>
        <w:tblStyle w:val="22"/>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1"/>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p>
    <w:p>
      <w:pPr>
        <w:pStyle w:val="10"/>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0"/>
        <w:tabs>
          <w:tab w:val="left" w:pos="1359"/>
          <w:tab w:val="left" w:pos="1959"/>
          <w:tab w:val="left" w:pos="2559"/>
        </w:tabs>
        <w:spacing w:before="3" w:line="480" w:lineRule="auto"/>
        <w:ind w:left="28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numPr>
          <w:ilvl w:val="1"/>
          <w:numId w:val="49"/>
        </w:numPr>
        <w:tabs>
          <w:tab w:val="left" w:pos="880"/>
        </w:tabs>
        <w:spacing w:before="62" w:after="0" w:line="240" w:lineRule="auto"/>
        <w:ind w:left="880" w:right="0" w:hanging="565"/>
        <w:jc w:val="left"/>
        <w:rPr>
          <w:rFonts w:hint="eastAsia" w:ascii="仿宋" w:hAnsi="仿宋" w:eastAsia="仿宋" w:cs="仿宋"/>
        </w:rPr>
      </w:pPr>
      <w:bookmarkStart w:id="118" w:name="4.2 商务条款响应表"/>
      <w:bookmarkEnd w:id="118"/>
      <w:bookmarkStart w:id="119" w:name="4.2 商务条款响应表"/>
      <w:bookmarkEnd w:id="119"/>
      <w:r>
        <w:rPr>
          <w:rFonts w:hint="eastAsia" w:ascii="仿宋" w:hAnsi="仿宋" w:eastAsia="仿宋" w:cs="仿宋"/>
        </w:rPr>
        <w:t>商务条款响应表</w:t>
      </w:r>
    </w:p>
    <w:p>
      <w:pPr>
        <w:pStyle w:val="10"/>
        <w:spacing w:before="11"/>
        <w:rPr>
          <w:rFonts w:hint="eastAsia" w:ascii="仿宋" w:hAnsi="仿宋" w:eastAsia="仿宋" w:cs="仿宋"/>
          <w:b/>
          <w:sz w:val="11"/>
        </w:rPr>
      </w:pPr>
    </w:p>
    <w:p>
      <w:pPr>
        <w:pStyle w:val="7"/>
        <w:keepNext w:val="0"/>
        <w:keepLines w:val="0"/>
        <w:pageBreakBefore w:val="0"/>
        <w:widowControl w:val="0"/>
        <w:numPr>
          <w:ilvl w:val="0"/>
          <w:numId w:val="50"/>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32"/>
          <w:szCs w:val="32"/>
        </w:rPr>
      </w:pPr>
      <w:bookmarkStart w:id="120" w:name="（1）实质性商务响应表"/>
      <w:bookmarkEnd w:id="120"/>
      <w:r>
        <w:rPr>
          <w:rFonts w:hint="eastAsia" w:ascii="仿宋" w:hAnsi="仿宋" w:eastAsia="仿宋" w:cs="仿宋"/>
          <w:spacing w:val="0"/>
          <w:sz w:val="32"/>
          <w:szCs w:val="32"/>
          <w:lang w:val="en-US" w:eastAsia="zh-CN"/>
        </w:rPr>
        <w:t>实质性</w:t>
      </w:r>
      <w:r>
        <w:rPr>
          <w:rFonts w:hint="eastAsia" w:ascii="仿宋" w:hAnsi="仿宋" w:eastAsia="仿宋" w:cs="仿宋"/>
          <w:spacing w:val="0"/>
          <w:sz w:val="32"/>
          <w:szCs w:val="32"/>
        </w:rPr>
        <w:t>商务</w:t>
      </w:r>
      <w:r>
        <w:rPr>
          <w:rFonts w:hint="eastAsia" w:ascii="仿宋" w:hAnsi="仿宋" w:eastAsia="仿宋" w:cs="仿宋"/>
          <w:spacing w:val="0"/>
          <w:sz w:val="32"/>
          <w:szCs w:val="32"/>
          <w:lang w:val="en-US" w:eastAsia="zh-CN"/>
        </w:rPr>
        <w:t>要求(“★”条款)响</w:t>
      </w:r>
      <w:r>
        <w:rPr>
          <w:rFonts w:hint="eastAsia" w:ascii="仿宋" w:hAnsi="仿宋" w:eastAsia="仿宋" w:cs="仿宋"/>
          <w:spacing w:val="0"/>
          <w:sz w:val="32"/>
          <w:szCs w:val="32"/>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121" w:name="_Toc19344"/>
      <w:r>
        <w:rPr>
          <w:rFonts w:hint="eastAsia" w:ascii="仿宋" w:hAnsi="仿宋" w:eastAsia="仿宋" w:cs="仿宋"/>
          <w:spacing w:val="0"/>
          <w:sz w:val="21"/>
          <w:szCs w:val="21"/>
        </w:rPr>
        <w:t>2、本表格式不得擅自修改。</w:t>
      </w:r>
      <w:bookmarkEnd w:id="121"/>
    </w:p>
    <w:p>
      <w:pPr>
        <w:pStyle w:val="10"/>
        <w:spacing w:line="360" w:lineRule="auto"/>
        <w:rPr>
          <w:rFonts w:hint="eastAsia" w:ascii="仿宋" w:hAnsi="仿宋" w:eastAsia="仿宋" w:cs="仿宋"/>
          <w:spacing w:val="0"/>
          <w:sz w:val="21"/>
          <w:szCs w:val="21"/>
        </w:rPr>
      </w:pPr>
    </w:p>
    <w:p>
      <w:pPr>
        <w:pStyle w:val="10"/>
        <w:rPr>
          <w:rFonts w:hint="eastAsia" w:ascii="仿宋" w:hAnsi="仿宋" w:eastAsia="仿宋" w:cs="仿宋"/>
          <w:spacing w:val="0"/>
          <w:sz w:val="21"/>
          <w:szCs w:val="21"/>
        </w:rPr>
      </w:pPr>
    </w:p>
    <w:p>
      <w:pPr>
        <w:pStyle w:val="10"/>
        <w:tabs>
          <w:tab w:val="left" w:pos="6099"/>
          <w:tab w:val="left" w:pos="9339"/>
        </w:tabs>
        <w:spacing w:line="480" w:lineRule="auto"/>
        <w:ind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7"/>
        <w:keepNext w:val="0"/>
        <w:keepLines w:val="0"/>
        <w:pageBreakBefore w:val="0"/>
        <w:widowControl w:val="0"/>
        <w:numPr>
          <w:ilvl w:val="0"/>
          <w:numId w:val="5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0"/>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0"/>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6"/>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240" w:lineRule="auto"/>
        <w:ind w:right="0" w:rightChars="0"/>
        <w:jc w:val="left"/>
        <w:textAlignment w:val="auto"/>
        <w:rPr>
          <w:rFonts w:hint="eastAsia" w:ascii="仿宋" w:hAnsi="仿宋" w:eastAsia="仿宋" w:cs="仿宋"/>
          <w:b w:val="0"/>
          <w:bCs w:val="0"/>
          <w:spacing w:val="0"/>
          <w:sz w:val="21"/>
          <w:szCs w:val="21"/>
          <w:lang w:val="zh-CN" w:eastAsia="zh-CN" w:bidi="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val="0"/>
          <w:bCs w:val="0"/>
          <w:spacing w:val="0"/>
          <w:sz w:val="21"/>
          <w:szCs w:val="21"/>
          <w:lang w:val="zh-CN" w:eastAsia="zh-CN" w:bidi="zh-CN"/>
        </w:rPr>
        <w:t>日期：</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年</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月</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日</w:t>
      </w:r>
    </w:p>
    <w:p>
      <w:pPr>
        <w:pStyle w:val="7"/>
        <w:keepNext w:val="0"/>
        <w:keepLines w:val="0"/>
        <w:pageBreakBefore w:val="0"/>
        <w:widowControl w:val="0"/>
        <w:numPr>
          <w:ilvl w:val="0"/>
          <w:numId w:val="50"/>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2"/>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28"/>
              <w:spacing w:before="6"/>
              <w:rPr>
                <w:rFonts w:hint="eastAsia" w:ascii="仿宋" w:hAnsi="仿宋" w:eastAsia="仿宋" w:cs="仿宋"/>
                <w:b/>
                <w:spacing w:val="0"/>
                <w:sz w:val="32"/>
              </w:rPr>
            </w:pPr>
          </w:p>
          <w:p>
            <w:pPr>
              <w:pStyle w:val="28"/>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28"/>
              <w:spacing w:before="6"/>
              <w:rPr>
                <w:rFonts w:hint="eastAsia" w:ascii="仿宋" w:hAnsi="仿宋" w:eastAsia="仿宋" w:cs="仿宋"/>
                <w:b/>
                <w:spacing w:val="0"/>
                <w:sz w:val="32"/>
              </w:rPr>
            </w:pPr>
          </w:p>
          <w:p>
            <w:pPr>
              <w:pStyle w:val="28"/>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28"/>
              <w:spacing w:before="3"/>
              <w:rPr>
                <w:rFonts w:hint="eastAsia" w:ascii="仿宋" w:hAnsi="仿宋" w:eastAsia="仿宋" w:cs="仿宋"/>
                <w:b/>
                <w:spacing w:val="0"/>
                <w:sz w:val="20"/>
              </w:rPr>
            </w:pPr>
          </w:p>
          <w:p>
            <w:pPr>
              <w:pStyle w:val="28"/>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28"/>
              <w:spacing w:before="6"/>
              <w:rPr>
                <w:rFonts w:hint="eastAsia" w:ascii="仿宋" w:hAnsi="仿宋" w:eastAsia="仿宋" w:cs="仿宋"/>
                <w:b/>
                <w:spacing w:val="0"/>
                <w:sz w:val="32"/>
              </w:rPr>
            </w:pPr>
          </w:p>
          <w:p>
            <w:pPr>
              <w:pStyle w:val="28"/>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28"/>
              <w:spacing w:before="9"/>
              <w:rPr>
                <w:rFonts w:hint="eastAsia" w:ascii="仿宋" w:hAnsi="仿宋" w:eastAsia="仿宋" w:cs="仿宋"/>
                <w:b/>
                <w:spacing w:val="0"/>
                <w:sz w:val="21"/>
                <w:szCs w:val="21"/>
              </w:rPr>
            </w:pPr>
          </w:p>
          <w:p>
            <w:pPr>
              <w:pStyle w:val="2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28"/>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28"/>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28"/>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28"/>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28"/>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28"/>
              <w:spacing w:before="6"/>
              <w:rPr>
                <w:rFonts w:hint="eastAsia" w:ascii="仿宋" w:hAnsi="仿宋" w:eastAsia="仿宋" w:cs="仿宋"/>
                <w:b/>
                <w:spacing w:val="0"/>
                <w:sz w:val="21"/>
                <w:szCs w:val="21"/>
              </w:rPr>
            </w:pPr>
          </w:p>
          <w:p>
            <w:pPr>
              <w:pStyle w:val="2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28"/>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28"/>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28"/>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28"/>
              <w:spacing w:before="6"/>
              <w:rPr>
                <w:rFonts w:hint="eastAsia" w:ascii="仿宋" w:hAnsi="仿宋" w:eastAsia="仿宋" w:cs="仿宋"/>
                <w:b/>
                <w:spacing w:val="0"/>
                <w:sz w:val="21"/>
                <w:szCs w:val="21"/>
              </w:rPr>
            </w:pPr>
          </w:p>
          <w:p>
            <w:pPr>
              <w:pStyle w:val="2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28"/>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28"/>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28"/>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28"/>
              <w:spacing w:before="5"/>
              <w:rPr>
                <w:rFonts w:hint="eastAsia" w:ascii="仿宋" w:hAnsi="仿宋" w:eastAsia="仿宋" w:cs="仿宋"/>
                <w:b/>
                <w:spacing w:val="0"/>
                <w:sz w:val="21"/>
                <w:szCs w:val="21"/>
              </w:rPr>
            </w:pPr>
          </w:p>
          <w:p>
            <w:pPr>
              <w:pStyle w:val="2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28"/>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28"/>
              <w:spacing w:line="360" w:lineRule="auto"/>
              <w:rPr>
                <w:rFonts w:hint="eastAsia" w:ascii="仿宋" w:hAnsi="仿宋" w:eastAsia="仿宋" w:cs="仿宋"/>
                <w:spacing w:val="0"/>
                <w:sz w:val="21"/>
                <w:szCs w:val="21"/>
              </w:rPr>
            </w:pPr>
          </w:p>
        </w:tc>
        <w:tc>
          <w:tcPr>
            <w:tcW w:w="1292" w:type="dxa"/>
            <w:noWrap w:val="0"/>
            <w:vAlign w:val="top"/>
          </w:tcPr>
          <w:p>
            <w:pPr>
              <w:pStyle w:val="28"/>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28"/>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28"/>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0"/>
        <w:bidi w:val="0"/>
        <w:spacing w:line="36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0"/>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0"/>
        <w:bidi w:val="0"/>
        <w:spacing w:line="36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0"/>
        <w:bidi w:val="0"/>
        <w:spacing w:line="360" w:lineRule="auto"/>
        <w:rPr>
          <w:rFonts w:hint="eastAsia" w:ascii="仿宋" w:hAnsi="仿宋" w:eastAsia="仿宋" w:cs="仿宋"/>
          <w:spacing w:val="0"/>
          <w:sz w:val="21"/>
          <w:szCs w:val="21"/>
        </w:rPr>
      </w:pPr>
    </w:p>
    <w:p>
      <w:pPr>
        <w:pStyle w:val="10"/>
        <w:tabs>
          <w:tab w:val="left" w:pos="6099"/>
          <w:tab w:val="left" w:pos="9339"/>
        </w:tabs>
        <w:spacing w:before="132" w:line="36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6"/>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360" w:lineRule="auto"/>
        <w:ind w:left="318" w:leftChars="0" w:right="0" w:rightChars="0"/>
        <w:jc w:val="left"/>
        <w:textAlignment w:val="auto"/>
        <w:rPr>
          <w:rFonts w:hint="eastAsia" w:ascii="仿宋" w:hAnsi="仿宋" w:eastAsia="仿宋" w:cs="仿宋"/>
          <w:b w:val="0"/>
          <w:bCs w:val="0"/>
          <w:spacing w:val="0"/>
          <w:sz w:val="21"/>
          <w:szCs w:val="21"/>
          <w:lang w:val="zh-CN" w:eastAsia="zh-CN" w:bidi="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val="0"/>
          <w:bCs w:val="0"/>
          <w:spacing w:val="0"/>
          <w:sz w:val="21"/>
          <w:szCs w:val="21"/>
          <w:lang w:val="zh-CN" w:eastAsia="zh-CN" w:bidi="zh-CN"/>
        </w:rPr>
        <w:t>日期：</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年</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月</w:t>
      </w:r>
      <w:r>
        <w:rPr>
          <w:rFonts w:hint="eastAsia" w:ascii="仿宋" w:hAnsi="仿宋" w:eastAsia="仿宋" w:cs="仿宋"/>
          <w:b w:val="0"/>
          <w:bCs w:val="0"/>
          <w:spacing w:val="0"/>
          <w:sz w:val="21"/>
          <w:szCs w:val="21"/>
          <w:lang w:val="zh-CN" w:eastAsia="zh-CN" w:bidi="zh-CN"/>
        </w:rPr>
        <w:tab/>
      </w:r>
      <w:r>
        <w:rPr>
          <w:rFonts w:hint="eastAsia" w:ascii="仿宋" w:hAnsi="仿宋" w:eastAsia="仿宋" w:cs="仿宋"/>
          <w:b w:val="0"/>
          <w:bCs w:val="0"/>
          <w:spacing w:val="0"/>
          <w:sz w:val="21"/>
          <w:szCs w:val="21"/>
          <w:lang w:val="zh-CN" w:eastAsia="zh-CN" w:bidi="zh-CN"/>
        </w:rPr>
        <w:t>日</w:t>
      </w:r>
    </w:p>
    <w:p>
      <w:pPr>
        <w:pStyle w:val="6"/>
        <w:numPr>
          <w:ilvl w:val="1"/>
          <w:numId w:val="49"/>
        </w:numPr>
        <w:tabs>
          <w:tab w:val="left" w:pos="880"/>
        </w:tabs>
        <w:spacing w:before="62" w:after="0" w:line="240" w:lineRule="auto"/>
        <w:ind w:left="880" w:right="0" w:hanging="565"/>
        <w:jc w:val="left"/>
        <w:rPr>
          <w:rStyle w:val="39"/>
          <w:rFonts w:hint="eastAsia" w:ascii="宋体" w:hAnsi="宋体" w:eastAsia="宋体" w:cs="宋体"/>
          <w:b/>
          <w:bCs/>
          <w:sz w:val="28"/>
          <w:szCs w:val="28"/>
          <w:lang w:val="en-US" w:eastAsia="zh-CN"/>
        </w:rPr>
      </w:pPr>
      <w:bookmarkStart w:id="122" w:name="_Toc7010"/>
      <w:bookmarkStart w:id="123" w:name="_Toc26057"/>
      <w:r>
        <w:rPr>
          <w:rStyle w:val="39"/>
          <w:rFonts w:hint="eastAsia" w:ascii="宋体" w:hAnsi="宋体" w:eastAsia="宋体" w:cs="宋体"/>
          <w:b/>
          <w:bCs/>
          <w:sz w:val="28"/>
          <w:szCs w:val="28"/>
          <w:lang w:val="en-US" w:eastAsia="zh-CN"/>
        </w:rPr>
        <w:t>供应商认为需要提交的其他资料</w:t>
      </w:r>
      <w:bookmarkEnd w:id="122"/>
      <w:bookmarkEnd w:id="123"/>
    </w:p>
    <w:p>
      <w:pPr>
        <w:pStyle w:val="10"/>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24" w:name="_Toc8942"/>
      <w:bookmarkStart w:id="125" w:name="_Toc15368"/>
      <w:r>
        <w:rPr>
          <w:rFonts w:hint="eastAsia" w:ascii="仿宋" w:hAnsi="仿宋" w:eastAsia="仿宋" w:cs="仿宋"/>
          <w:spacing w:val="0"/>
          <w:sz w:val="21"/>
          <w:szCs w:val="21"/>
        </w:rPr>
        <w:t>（请扼要叙述）</w:t>
      </w:r>
      <w:bookmarkEnd w:id="124"/>
      <w:bookmarkEnd w:id="125"/>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0"/>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line="360" w:lineRule="auto"/>
        <w:rPr>
          <w:rFonts w:hint="eastAsia" w:ascii="仿宋" w:hAnsi="仿宋" w:eastAsia="仿宋" w:cs="仿宋"/>
          <w:b/>
          <w:bCs/>
          <w:sz w:val="21"/>
          <w:szCs w:val="21"/>
          <w:lang w:val="en-US" w:eastAsia="zh-CN" w:bidi="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r>
        <w:rPr>
          <w:rFonts w:hint="eastAsia" w:ascii="仿宋" w:hAnsi="仿宋" w:eastAsia="仿宋" w:cs="仿宋"/>
          <w:sz w:val="21"/>
          <w:szCs w:val="21"/>
          <w:lang w:val="en-US" w:eastAsia="zh-CN"/>
        </w:rPr>
        <w:br w:type="page"/>
      </w:r>
    </w:p>
    <w:p>
      <w:pPr>
        <w:pStyle w:val="6"/>
        <w:numPr>
          <w:ilvl w:val="1"/>
          <w:numId w:val="49"/>
        </w:numPr>
        <w:tabs>
          <w:tab w:val="left" w:pos="880"/>
        </w:tabs>
        <w:spacing w:before="62" w:after="0" w:line="240" w:lineRule="auto"/>
        <w:ind w:left="880" w:right="0" w:hanging="565"/>
        <w:jc w:val="left"/>
        <w:rPr>
          <w:rStyle w:val="39"/>
          <w:rFonts w:hint="eastAsia" w:ascii="宋体" w:hAnsi="宋体" w:eastAsia="宋体" w:cs="宋体"/>
          <w:b/>
          <w:bCs/>
          <w:sz w:val="28"/>
          <w:szCs w:val="28"/>
          <w:lang w:val="en-US" w:eastAsia="zh-CN"/>
        </w:rPr>
      </w:pPr>
      <w:r>
        <w:rPr>
          <w:rStyle w:val="39"/>
          <w:rFonts w:hint="eastAsia" w:ascii="宋体" w:hAnsi="宋体" w:eastAsia="宋体" w:cs="宋体"/>
          <w:b/>
          <w:bCs/>
          <w:sz w:val="28"/>
          <w:szCs w:val="28"/>
          <w:lang w:val="en-US" w:eastAsia="zh-CN"/>
        </w:rPr>
        <w:t>本项目管理人员配置</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ind w:left="0" w:leftChars="0" w:firstLine="0" w:firstLineChars="0"/>
        <w:rPr>
          <w:rFonts w:hint="eastAsia" w:ascii="仿宋" w:hAnsi="仿宋" w:eastAsia="仿宋" w:cs="仿宋"/>
          <w:b/>
          <w:bCs/>
          <w:sz w:val="28"/>
          <w:szCs w:val="28"/>
          <w:lang w:val="en-US" w:eastAsia="zh-CN" w:bidi="zh-CN"/>
        </w:rPr>
      </w:pPr>
    </w:p>
    <w:tbl>
      <w:tblPr>
        <w:tblStyle w:val="23"/>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301"/>
        <w:gridCol w:w="2294"/>
        <w:gridCol w:w="286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6"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301"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9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86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93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06" w:type="dxa"/>
            <w:vAlign w:val="center"/>
          </w:tcPr>
          <w:p>
            <w:pPr>
              <w:pStyle w:val="14"/>
              <w:jc w:val="center"/>
              <w:rPr>
                <w:rFonts w:hint="default"/>
                <w:vertAlign w:val="baseline"/>
                <w:lang w:val="en-US" w:eastAsia="zh-CN"/>
              </w:rPr>
            </w:pPr>
          </w:p>
        </w:tc>
        <w:tc>
          <w:tcPr>
            <w:tcW w:w="1301" w:type="dxa"/>
            <w:vAlign w:val="center"/>
          </w:tcPr>
          <w:p>
            <w:pPr>
              <w:pStyle w:val="14"/>
              <w:jc w:val="center"/>
              <w:rPr>
                <w:rFonts w:hint="default"/>
                <w:vertAlign w:val="baseline"/>
                <w:lang w:val="en-US" w:eastAsia="zh-CN"/>
              </w:rPr>
            </w:pPr>
          </w:p>
        </w:tc>
        <w:tc>
          <w:tcPr>
            <w:tcW w:w="2294" w:type="dxa"/>
            <w:vAlign w:val="center"/>
          </w:tcPr>
          <w:p>
            <w:pPr>
              <w:pStyle w:val="14"/>
              <w:jc w:val="center"/>
              <w:rPr>
                <w:rFonts w:hint="default"/>
                <w:vertAlign w:val="baseline"/>
                <w:lang w:val="en-US" w:eastAsia="zh-CN"/>
              </w:rPr>
            </w:pPr>
          </w:p>
        </w:tc>
        <w:tc>
          <w:tcPr>
            <w:tcW w:w="2863" w:type="dxa"/>
            <w:vAlign w:val="center"/>
          </w:tcPr>
          <w:p>
            <w:pPr>
              <w:pStyle w:val="14"/>
              <w:jc w:val="center"/>
              <w:rPr>
                <w:rFonts w:hint="default"/>
                <w:vertAlign w:val="baseline"/>
                <w:lang w:val="en-US" w:eastAsia="zh-CN"/>
              </w:rPr>
            </w:pPr>
          </w:p>
        </w:tc>
        <w:tc>
          <w:tcPr>
            <w:tcW w:w="2934" w:type="dxa"/>
            <w:vAlign w:val="center"/>
          </w:tcPr>
          <w:p>
            <w:pPr>
              <w:pStyle w:val="14"/>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06" w:type="dxa"/>
            <w:vAlign w:val="center"/>
          </w:tcPr>
          <w:p>
            <w:pPr>
              <w:pStyle w:val="14"/>
              <w:jc w:val="center"/>
              <w:rPr>
                <w:rFonts w:hint="default"/>
                <w:vertAlign w:val="baseline"/>
                <w:lang w:val="en-US" w:eastAsia="zh-CN"/>
              </w:rPr>
            </w:pPr>
          </w:p>
        </w:tc>
        <w:tc>
          <w:tcPr>
            <w:tcW w:w="1301" w:type="dxa"/>
            <w:vAlign w:val="center"/>
          </w:tcPr>
          <w:p>
            <w:pPr>
              <w:pStyle w:val="14"/>
              <w:jc w:val="center"/>
              <w:rPr>
                <w:rFonts w:hint="default"/>
                <w:vertAlign w:val="baseline"/>
                <w:lang w:val="en-US" w:eastAsia="zh-CN"/>
              </w:rPr>
            </w:pPr>
          </w:p>
        </w:tc>
        <w:tc>
          <w:tcPr>
            <w:tcW w:w="2294" w:type="dxa"/>
            <w:vAlign w:val="center"/>
          </w:tcPr>
          <w:p>
            <w:pPr>
              <w:pStyle w:val="14"/>
              <w:jc w:val="center"/>
              <w:rPr>
                <w:rFonts w:hint="default"/>
                <w:vertAlign w:val="baseline"/>
                <w:lang w:val="en-US" w:eastAsia="zh-CN"/>
              </w:rPr>
            </w:pPr>
          </w:p>
        </w:tc>
        <w:tc>
          <w:tcPr>
            <w:tcW w:w="2863" w:type="dxa"/>
            <w:vAlign w:val="center"/>
          </w:tcPr>
          <w:p>
            <w:pPr>
              <w:pStyle w:val="14"/>
              <w:jc w:val="center"/>
              <w:rPr>
                <w:rFonts w:hint="default"/>
                <w:vertAlign w:val="baseline"/>
                <w:lang w:val="en-US" w:eastAsia="zh-CN"/>
              </w:rPr>
            </w:pPr>
          </w:p>
        </w:tc>
        <w:tc>
          <w:tcPr>
            <w:tcW w:w="2934" w:type="dxa"/>
            <w:vAlign w:val="center"/>
          </w:tcPr>
          <w:p>
            <w:pPr>
              <w:pStyle w:val="14"/>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 w:type="dxa"/>
            <w:vAlign w:val="center"/>
          </w:tcPr>
          <w:p>
            <w:pPr>
              <w:pStyle w:val="14"/>
              <w:jc w:val="center"/>
              <w:rPr>
                <w:rFonts w:hint="default"/>
                <w:vertAlign w:val="baseline"/>
                <w:lang w:val="en-US" w:eastAsia="zh-CN"/>
              </w:rPr>
            </w:pPr>
          </w:p>
        </w:tc>
        <w:tc>
          <w:tcPr>
            <w:tcW w:w="1301" w:type="dxa"/>
            <w:vAlign w:val="center"/>
          </w:tcPr>
          <w:p>
            <w:pPr>
              <w:pStyle w:val="14"/>
              <w:jc w:val="center"/>
              <w:rPr>
                <w:rFonts w:hint="default"/>
                <w:vertAlign w:val="baseline"/>
                <w:lang w:val="en-US" w:eastAsia="zh-CN"/>
              </w:rPr>
            </w:pPr>
          </w:p>
        </w:tc>
        <w:tc>
          <w:tcPr>
            <w:tcW w:w="2294" w:type="dxa"/>
            <w:vAlign w:val="center"/>
          </w:tcPr>
          <w:p>
            <w:pPr>
              <w:pStyle w:val="14"/>
              <w:jc w:val="center"/>
              <w:rPr>
                <w:rFonts w:hint="default"/>
                <w:vertAlign w:val="baseline"/>
                <w:lang w:val="en-US" w:eastAsia="zh-CN"/>
              </w:rPr>
            </w:pPr>
          </w:p>
        </w:tc>
        <w:tc>
          <w:tcPr>
            <w:tcW w:w="2863" w:type="dxa"/>
            <w:vAlign w:val="center"/>
          </w:tcPr>
          <w:p>
            <w:pPr>
              <w:pStyle w:val="14"/>
              <w:jc w:val="center"/>
              <w:rPr>
                <w:rFonts w:hint="default"/>
                <w:vertAlign w:val="baseline"/>
                <w:lang w:val="en-US" w:eastAsia="zh-CN"/>
              </w:rPr>
            </w:pPr>
          </w:p>
        </w:tc>
        <w:tc>
          <w:tcPr>
            <w:tcW w:w="2934" w:type="dxa"/>
            <w:vAlign w:val="center"/>
          </w:tcPr>
          <w:p>
            <w:pPr>
              <w:pStyle w:val="14"/>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 w:type="dxa"/>
            <w:vAlign w:val="center"/>
          </w:tcPr>
          <w:p>
            <w:pPr>
              <w:pStyle w:val="14"/>
              <w:jc w:val="center"/>
              <w:rPr>
                <w:rFonts w:hint="default"/>
                <w:vertAlign w:val="baseline"/>
                <w:lang w:val="en-US" w:eastAsia="zh-CN"/>
              </w:rPr>
            </w:pPr>
          </w:p>
        </w:tc>
        <w:tc>
          <w:tcPr>
            <w:tcW w:w="1301" w:type="dxa"/>
            <w:vAlign w:val="center"/>
          </w:tcPr>
          <w:p>
            <w:pPr>
              <w:pStyle w:val="14"/>
              <w:jc w:val="center"/>
              <w:rPr>
                <w:rFonts w:hint="default"/>
                <w:vertAlign w:val="baseline"/>
                <w:lang w:val="en-US" w:eastAsia="zh-CN"/>
              </w:rPr>
            </w:pPr>
          </w:p>
        </w:tc>
        <w:tc>
          <w:tcPr>
            <w:tcW w:w="2294" w:type="dxa"/>
            <w:vAlign w:val="center"/>
          </w:tcPr>
          <w:p>
            <w:pPr>
              <w:pStyle w:val="14"/>
              <w:jc w:val="center"/>
              <w:rPr>
                <w:rFonts w:hint="default"/>
                <w:vertAlign w:val="baseline"/>
                <w:lang w:val="en-US" w:eastAsia="zh-CN"/>
              </w:rPr>
            </w:pPr>
          </w:p>
        </w:tc>
        <w:tc>
          <w:tcPr>
            <w:tcW w:w="2863" w:type="dxa"/>
            <w:vAlign w:val="center"/>
          </w:tcPr>
          <w:p>
            <w:pPr>
              <w:pStyle w:val="14"/>
              <w:jc w:val="center"/>
              <w:rPr>
                <w:rFonts w:hint="default"/>
                <w:vertAlign w:val="baseline"/>
                <w:lang w:val="en-US" w:eastAsia="zh-CN"/>
              </w:rPr>
            </w:pPr>
          </w:p>
        </w:tc>
        <w:tc>
          <w:tcPr>
            <w:tcW w:w="2934" w:type="dxa"/>
            <w:vAlign w:val="center"/>
          </w:tcPr>
          <w:p>
            <w:pPr>
              <w:pStyle w:val="14"/>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906" w:type="dxa"/>
            <w:vAlign w:val="center"/>
          </w:tcPr>
          <w:p>
            <w:pPr>
              <w:pStyle w:val="14"/>
              <w:jc w:val="center"/>
              <w:rPr>
                <w:rFonts w:hint="default"/>
                <w:vertAlign w:val="baseline"/>
                <w:lang w:val="en-US" w:eastAsia="zh-CN"/>
              </w:rPr>
            </w:pPr>
          </w:p>
        </w:tc>
        <w:tc>
          <w:tcPr>
            <w:tcW w:w="1301" w:type="dxa"/>
            <w:vAlign w:val="center"/>
          </w:tcPr>
          <w:p>
            <w:pPr>
              <w:pStyle w:val="14"/>
              <w:jc w:val="center"/>
              <w:rPr>
                <w:rFonts w:hint="default"/>
                <w:vertAlign w:val="baseline"/>
                <w:lang w:val="en-US" w:eastAsia="zh-CN"/>
              </w:rPr>
            </w:pPr>
          </w:p>
        </w:tc>
        <w:tc>
          <w:tcPr>
            <w:tcW w:w="2294" w:type="dxa"/>
            <w:vAlign w:val="center"/>
          </w:tcPr>
          <w:p>
            <w:pPr>
              <w:pStyle w:val="14"/>
              <w:jc w:val="center"/>
              <w:rPr>
                <w:rFonts w:hint="default"/>
                <w:vertAlign w:val="baseline"/>
                <w:lang w:val="en-US" w:eastAsia="zh-CN"/>
              </w:rPr>
            </w:pPr>
          </w:p>
        </w:tc>
        <w:tc>
          <w:tcPr>
            <w:tcW w:w="2863" w:type="dxa"/>
            <w:vAlign w:val="center"/>
          </w:tcPr>
          <w:p>
            <w:pPr>
              <w:pStyle w:val="14"/>
              <w:jc w:val="center"/>
              <w:rPr>
                <w:rFonts w:hint="default"/>
                <w:vertAlign w:val="baseline"/>
                <w:lang w:val="en-US" w:eastAsia="zh-CN"/>
              </w:rPr>
            </w:pPr>
          </w:p>
        </w:tc>
        <w:tc>
          <w:tcPr>
            <w:tcW w:w="2934" w:type="dxa"/>
            <w:vAlign w:val="center"/>
          </w:tcPr>
          <w:p>
            <w:pPr>
              <w:pStyle w:val="14"/>
              <w:jc w:val="center"/>
              <w:rPr>
                <w:rFonts w:hint="default"/>
                <w:vertAlign w:val="baseline"/>
                <w:lang w:val="en-US" w:eastAsia="zh-CN"/>
              </w:rPr>
            </w:pPr>
          </w:p>
        </w:tc>
      </w:tr>
    </w:tbl>
    <w:p>
      <w:pPr>
        <w:pStyle w:val="14"/>
        <w:ind w:left="0" w:leftChars="0" w:firstLine="0" w:firstLineChars="0"/>
        <w:rPr>
          <w:rFonts w:hint="default"/>
          <w:sz w:val="21"/>
          <w:szCs w:val="21"/>
          <w:lang w:val="en-US" w:eastAsia="zh-CN"/>
        </w:rPr>
      </w:pPr>
    </w:p>
    <w:p>
      <w:pPr>
        <w:spacing w:line="360" w:lineRule="auto"/>
        <w:rPr>
          <w:rFonts w:hint="default"/>
          <w:b w:val="0"/>
          <w:bCs w:val="0"/>
          <w:sz w:val="21"/>
          <w:szCs w:val="21"/>
          <w:lang w:val="en-US" w:eastAsia="zh-CN"/>
        </w:rPr>
      </w:pPr>
    </w:p>
    <w:p>
      <w:pPr>
        <w:pStyle w:val="4"/>
        <w:spacing w:line="360" w:lineRule="auto"/>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备注：（1）提供所有参与本项目人员的资质证书复印件；</w:t>
      </w:r>
    </w:p>
    <w:p>
      <w:pPr>
        <w:pStyle w:val="4"/>
        <w:spacing w:line="360" w:lineRule="auto"/>
        <w:ind w:left="1096" w:leftChars="300" w:hanging="436" w:hangingChars="208"/>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（2）要求参加本项目的实施技术服务人员于本项目的实施和管理，在项目实施过程中，不能任意更换。</w:t>
      </w:r>
    </w:p>
    <w:p>
      <w:pPr>
        <w:pStyle w:val="4"/>
        <w:spacing w:line="360" w:lineRule="auto"/>
        <w:jc w:val="both"/>
        <w:rPr>
          <w:rFonts w:hint="eastAsia" w:ascii="仿宋" w:hAnsi="仿宋" w:eastAsia="仿宋" w:cs="仿宋"/>
          <w:b w:val="0"/>
          <w:bCs w:val="0"/>
          <w:sz w:val="21"/>
          <w:szCs w:val="21"/>
          <w:lang w:val="en-US" w:eastAsia="zh-CN"/>
        </w:rPr>
      </w:pPr>
    </w:p>
    <w:p>
      <w:pPr>
        <w:pStyle w:val="4"/>
        <w:spacing w:line="360" w:lineRule="auto"/>
        <w:jc w:val="both"/>
        <w:rPr>
          <w:rFonts w:hint="eastAsia" w:ascii="仿宋" w:hAnsi="仿宋" w:eastAsia="仿宋" w:cs="仿宋"/>
          <w:b w:val="0"/>
          <w:bCs w:val="0"/>
          <w:sz w:val="21"/>
          <w:szCs w:val="21"/>
          <w:lang w:val="en-US" w:eastAsia="zh-CN"/>
        </w:rPr>
      </w:pPr>
    </w:p>
    <w:p>
      <w:pPr>
        <w:spacing w:line="360" w:lineRule="auto"/>
        <w:rPr>
          <w:rFonts w:hint="eastAsia"/>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供应商名称（公章）：                        </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日期：   年   月   日</w:t>
      </w:r>
    </w:p>
    <w:p>
      <w:pPr>
        <w:rPr>
          <w:rFonts w:hint="default"/>
          <w:lang w:val="en-US"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9"/>
        </w:numPr>
        <w:tabs>
          <w:tab w:val="left" w:pos="880"/>
        </w:tabs>
        <w:spacing w:before="62" w:after="0" w:line="240" w:lineRule="auto"/>
        <w:ind w:left="880" w:right="0" w:hanging="565"/>
        <w:jc w:val="left"/>
        <w:rPr>
          <w:rFonts w:hint="default"/>
          <w:lang w:val="en-US" w:eastAsia="zh-CN"/>
        </w:rPr>
      </w:pPr>
      <w:r>
        <w:rPr>
          <w:rFonts w:hint="eastAsia"/>
          <w:lang w:val="en-US" w:eastAsia="zh-CN"/>
        </w:rPr>
        <w:t>监理实施方案</w:t>
      </w:r>
    </w:p>
    <w:p>
      <w:pPr>
        <w:rPr>
          <w:rFonts w:hint="default"/>
          <w:lang w:val="en-US" w:eastAsia="zh-CN"/>
        </w:rPr>
      </w:pPr>
    </w:p>
    <w:p>
      <w:pPr>
        <w:snapToGrid w:val="0"/>
        <w:spacing w:line="36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spacing w:line="360" w:lineRule="auto"/>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0"/>
        <w:spacing w:line="360" w:lineRule="auto"/>
      </w:pPr>
    </w:p>
    <w:p>
      <w:pPr>
        <w:spacing w:line="360" w:lineRule="auto"/>
      </w:pPr>
    </w:p>
    <w:p>
      <w:pPr>
        <w:pStyle w:val="10"/>
        <w:bidi w:val="0"/>
        <w:spacing w:line="360" w:lineRule="auto"/>
        <w:rPr>
          <w:rFonts w:hint="eastAsia" w:ascii="仿宋" w:hAnsi="仿宋" w:eastAsia="仿宋" w:cs="仿宋"/>
          <w:b/>
          <w:bCs/>
          <w:spacing w:val="0"/>
          <w:sz w:val="21"/>
          <w:szCs w:val="21"/>
          <w:lang w:val="zh-CN" w:eastAsia="zh-CN" w:bidi="zh-CN"/>
        </w:rPr>
      </w:pPr>
    </w:p>
    <w:p>
      <w:pPr>
        <w:pStyle w:val="13"/>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等项目</w:t>
      </w:r>
      <w:r>
        <w:rPr>
          <w:rFonts w:hint="eastAsia" w:ascii="仿宋" w:hAnsi="仿宋" w:eastAsia="仿宋" w:cs="仿宋"/>
          <w:color w:val="000000"/>
          <w:szCs w:val="21"/>
          <w:highlight w:val="none"/>
        </w:rPr>
        <w:t>内容的要求，并在此基础之上完成项目</w:t>
      </w:r>
      <w:r>
        <w:rPr>
          <w:rFonts w:hint="eastAsia" w:ascii="仿宋" w:hAnsi="仿宋" w:eastAsia="仿宋" w:cs="仿宋"/>
          <w:color w:val="000000"/>
          <w:szCs w:val="21"/>
          <w:highlight w:val="none"/>
          <w:lang w:val="en-US" w:eastAsia="zh-CN"/>
        </w:rPr>
        <w:t>实施</w:t>
      </w:r>
      <w:r>
        <w:rPr>
          <w:rFonts w:hint="eastAsia" w:ascii="仿宋" w:hAnsi="仿宋" w:eastAsia="仿宋" w:cs="仿宋"/>
          <w:color w:val="000000"/>
          <w:szCs w:val="21"/>
          <w:highlight w:val="none"/>
        </w:rPr>
        <w:t>方案的编写</w:t>
      </w:r>
      <w:r>
        <w:rPr>
          <w:rFonts w:hint="eastAsia" w:ascii="仿宋" w:hAnsi="仿宋" w:eastAsia="仿宋" w:cs="仿宋"/>
          <w:color w:val="000000"/>
          <w:szCs w:val="21"/>
          <w:highlight w:val="none"/>
          <w:lang w:eastAsia="zh-CN"/>
        </w:rPr>
        <w:t>。</w:t>
      </w:r>
    </w:p>
    <w:p>
      <w:pPr>
        <w:pStyle w:val="10"/>
        <w:spacing w:line="360" w:lineRule="auto"/>
        <w:rPr>
          <w:rFonts w:hint="eastAsia" w:ascii="仿宋" w:hAnsi="仿宋" w:eastAsia="仿宋" w:cs="仿宋"/>
          <w:b/>
          <w:spacing w:val="0"/>
          <w:sz w:val="21"/>
          <w:szCs w:val="21"/>
        </w:rPr>
      </w:pPr>
    </w:p>
    <w:p>
      <w:pPr>
        <w:pStyle w:val="10"/>
        <w:spacing w:line="360" w:lineRule="auto"/>
        <w:rPr>
          <w:rFonts w:hint="eastAsia" w:ascii="仿宋" w:hAnsi="仿宋" w:eastAsia="仿宋" w:cs="仿宋"/>
          <w:b/>
          <w:spacing w:val="0"/>
          <w:sz w:val="21"/>
          <w:szCs w:val="21"/>
        </w:rPr>
      </w:pPr>
    </w:p>
    <w:p>
      <w:pPr>
        <w:pStyle w:val="10"/>
        <w:tabs>
          <w:tab w:val="left" w:pos="6099"/>
          <w:tab w:val="left" w:pos="9339"/>
        </w:tabs>
        <w:spacing w:before="167" w:line="360" w:lineRule="auto"/>
        <w:ind w:left="280" w:leftChars="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spacing w:line="360" w:lineRule="auto"/>
        <w:rPr>
          <w:rFonts w:hint="default"/>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5"/>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0r5M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N&#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6DSvk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DMNs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T1&#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0Mw2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8KZs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W8&#10;X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nwpmyQEAAJs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新兴县东利水闸重建工程监理服务                                                     项目编号：GDZZ-2024-04-02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新兴县东利水闸重建工程监理服务                                                     项目编号：GDZZ-2024-04-02</w:t>
    </w:r>
  </w:p>
  <w:p>
    <w:pPr>
      <w:pStyle w:val="16"/>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新兴县东利水闸重建工程监理服务                                                     项目编号：GDZZ-2024-04-02</w:t>
    </w:r>
  </w:p>
  <w:p>
    <w:pPr>
      <w:pStyle w:val="16"/>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multilevel"/>
    <w:tmpl w:val="817CC545"/>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1">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2">
    <w:nsid w:val="8B01B4AE"/>
    <w:multiLevelType w:val="multilevel"/>
    <w:tmpl w:val="8B01B4AE"/>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8EDFA4F3"/>
    <w:multiLevelType w:val="singleLevel"/>
    <w:tmpl w:val="8EDFA4F3"/>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4">
    <w:nsid w:val="9241BFAF"/>
    <w:multiLevelType w:val="singleLevel"/>
    <w:tmpl w:val="9241BFAF"/>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5">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6">
    <w:nsid w:val="A8EFDE1F"/>
    <w:multiLevelType w:val="multilevel"/>
    <w:tmpl w:val="A8EFDE1F"/>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7">
    <w:nsid w:val="A9E3E022"/>
    <w:multiLevelType w:val="singleLevel"/>
    <w:tmpl w:val="A9E3E022"/>
    <w:lvl w:ilvl="0" w:tentative="0">
      <w:start w:val="1"/>
      <w:numFmt w:val="decimal"/>
      <w:lvlText w:val="(%1)"/>
      <w:lvlJc w:val="left"/>
      <w:pPr>
        <w:ind w:left="425" w:hanging="425"/>
      </w:pPr>
      <w:rPr>
        <w:rFonts w:hint="default"/>
      </w:rPr>
    </w:lvl>
  </w:abstractNum>
  <w:abstractNum w:abstractNumId="8">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9">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0">
    <w:nsid w:val="B1F86645"/>
    <w:multiLevelType w:val="singleLevel"/>
    <w:tmpl w:val="B1F86645"/>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11">
    <w:nsid w:val="BD7F462F"/>
    <w:multiLevelType w:val="singleLevel"/>
    <w:tmpl w:val="BD7F462F"/>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12">
    <w:nsid w:val="C18C534E"/>
    <w:multiLevelType w:val="singleLevel"/>
    <w:tmpl w:val="C18C534E"/>
    <w:lvl w:ilvl="0" w:tentative="0">
      <w:start w:val="1"/>
      <w:numFmt w:val="decimal"/>
      <w:lvlText w:val="%1."/>
      <w:lvlJc w:val="left"/>
      <w:pPr>
        <w:ind w:left="425" w:hanging="425"/>
      </w:pPr>
      <w:rPr>
        <w:rFonts w:hint="default"/>
      </w:rPr>
    </w:lvl>
  </w:abstractNum>
  <w:abstractNum w:abstractNumId="13">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5">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6">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7">
    <w:nsid w:val="E89B225C"/>
    <w:multiLevelType w:val="multilevel"/>
    <w:tmpl w:val="E89B225C"/>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eastAsia"/>
        <w:highlight w:val="none"/>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8">
    <w:nsid w:val="ECCCC306"/>
    <w:multiLevelType w:val="singleLevel"/>
    <w:tmpl w:val="ECCCC306"/>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19">
    <w:nsid w:val="F46B7D1C"/>
    <w:multiLevelType w:val="singleLevel"/>
    <w:tmpl w:val="F46B7D1C"/>
    <w:lvl w:ilvl="0" w:tentative="0">
      <w:start w:val="1"/>
      <w:numFmt w:val="decimal"/>
      <w:suff w:val="nothing"/>
      <w:lvlText w:val="%1）"/>
      <w:lvlJc w:val="left"/>
    </w:lvl>
  </w:abstractNum>
  <w:abstractNum w:abstractNumId="20">
    <w:nsid w:val="00000009"/>
    <w:multiLevelType w:val="multilevel"/>
    <w:tmpl w:val="00000009"/>
    <w:lvl w:ilvl="0" w:tentative="0">
      <w:start w:val="1"/>
      <w:numFmt w:val="decimal"/>
      <w:lvlText w:val="(%1)"/>
      <w:lvlJc w:val="left"/>
      <w:pPr>
        <w:tabs>
          <w:tab w:val="left" w:pos="870"/>
        </w:tabs>
        <w:ind w:left="870" w:hanging="39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3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2">
    <w:nsid w:val="0000000B"/>
    <w:multiLevelType w:val="singleLevel"/>
    <w:tmpl w:val="0000000B"/>
    <w:lvl w:ilvl="0" w:tentative="0">
      <w:start w:val="1"/>
      <w:numFmt w:val="chineseCounting"/>
      <w:suff w:val="nothing"/>
      <w:lvlText w:val="%1、"/>
      <w:lvlJc w:val="left"/>
    </w:lvl>
  </w:abstractNum>
  <w:abstractNum w:abstractNumId="23">
    <w:nsid w:val="01136BFA"/>
    <w:multiLevelType w:val="multilevel"/>
    <w:tmpl w:val="01136B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5">
    <w:nsid w:val="09879CDB"/>
    <w:multiLevelType w:val="singleLevel"/>
    <w:tmpl w:val="09879CDB"/>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26">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27">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28">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29">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0">
    <w:nsid w:val="153F7BC1"/>
    <w:multiLevelType w:val="singleLevel"/>
    <w:tmpl w:val="153F7BC1"/>
    <w:lvl w:ilvl="0" w:tentative="0">
      <w:start w:val="2"/>
      <w:numFmt w:val="decimal"/>
      <w:suff w:val="nothing"/>
      <w:lvlText w:val="%1、"/>
      <w:lvlJc w:val="left"/>
      <w:pPr>
        <w:ind w:left="840" w:leftChars="0" w:firstLine="0" w:firstLineChars="0"/>
      </w:pPr>
    </w:lvl>
  </w:abstractNum>
  <w:abstractNum w:abstractNumId="31">
    <w:nsid w:val="1ACDE60F"/>
    <w:multiLevelType w:val="multilevel"/>
    <w:tmpl w:val="1ACDE60F"/>
    <w:lvl w:ilvl="0" w:tentative="0">
      <w:start w:val="1"/>
      <w:numFmt w:val="decimal"/>
      <w:lvlText w:val="（%1）"/>
      <w:lvlJc w:val="left"/>
      <w:pPr>
        <w:tabs>
          <w:tab w:val="left" w:pos="2940"/>
        </w:tabs>
        <w:ind w:left="6476" w:hanging="3437"/>
        <w:jc w:val="left"/>
      </w:pPr>
      <w:rPr>
        <w:rFonts w:hint="default" w:ascii="宋体" w:hAnsi="宋体" w:eastAsia="宋体" w:cs="宋体"/>
        <w:b/>
        <w:bCs/>
        <w:spacing w:val="-1"/>
        <w:w w:val="100"/>
        <w:sz w:val="22"/>
        <w:szCs w:val="22"/>
        <w:lang w:val="zh-CN" w:eastAsia="zh-CN" w:bidi="zh-CN"/>
      </w:rPr>
    </w:lvl>
    <w:lvl w:ilvl="1" w:tentative="0">
      <w:start w:val="0"/>
      <w:numFmt w:val="bullet"/>
      <w:lvlText w:val="•"/>
      <w:lvlJc w:val="left"/>
      <w:pPr>
        <w:tabs>
          <w:tab w:val="left" w:pos="2940"/>
        </w:tabs>
        <w:ind w:left="7109" w:hanging="3437"/>
      </w:pPr>
      <w:rPr>
        <w:rFonts w:hint="default"/>
        <w:lang w:val="zh-CN" w:eastAsia="zh-CN" w:bidi="zh-CN"/>
      </w:rPr>
    </w:lvl>
    <w:lvl w:ilvl="2" w:tentative="0">
      <w:start w:val="0"/>
      <w:numFmt w:val="bullet"/>
      <w:lvlText w:val="•"/>
      <w:lvlJc w:val="left"/>
      <w:pPr>
        <w:tabs>
          <w:tab w:val="left" w:pos="2940"/>
        </w:tabs>
        <w:ind w:left="7738" w:hanging="3437"/>
      </w:pPr>
      <w:rPr>
        <w:rFonts w:hint="default"/>
        <w:lang w:val="zh-CN" w:eastAsia="zh-CN" w:bidi="zh-CN"/>
      </w:rPr>
    </w:lvl>
    <w:lvl w:ilvl="3" w:tentative="0">
      <w:start w:val="0"/>
      <w:numFmt w:val="bullet"/>
      <w:lvlText w:val="•"/>
      <w:lvlJc w:val="left"/>
      <w:pPr>
        <w:tabs>
          <w:tab w:val="left" w:pos="2940"/>
        </w:tabs>
        <w:ind w:left="8367" w:hanging="3437"/>
      </w:pPr>
      <w:rPr>
        <w:rFonts w:hint="default"/>
        <w:lang w:val="zh-CN" w:eastAsia="zh-CN" w:bidi="zh-CN"/>
      </w:rPr>
    </w:lvl>
    <w:lvl w:ilvl="4" w:tentative="0">
      <w:start w:val="0"/>
      <w:numFmt w:val="bullet"/>
      <w:lvlText w:val="•"/>
      <w:lvlJc w:val="left"/>
      <w:pPr>
        <w:tabs>
          <w:tab w:val="left" w:pos="2940"/>
        </w:tabs>
        <w:ind w:left="8996" w:hanging="3437"/>
      </w:pPr>
      <w:rPr>
        <w:rFonts w:hint="default"/>
        <w:lang w:val="zh-CN" w:eastAsia="zh-CN" w:bidi="zh-CN"/>
      </w:rPr>
    </w:lvl>
    <w:lvl w:ilvl="5" w:tentative="0">
      <w:start w:val="0"/>
      <w:numFmt w:val="bullet"/>
      <w:lvlText w:val="•"/>
      <w:lvlJc w:val="left"/>
      <w:pPr>
        <w:tabs>
          <w:tab w:val="left" w:pos="2940"/>
        </w:tabs>
        <w:ind w:left="9625" w:hanging="3437"/>
      </w:pPr>
      <w:rPr>
        <w:rFonts w:hint="default"/>
        <w:lang w:val="zh-CN" w:eastAsia="zh-CN" w:bidi="zh-CN"/>
      </w:rPr>
    </w:lvl>
    <w:lvl w:ilvl="6" w:tentative="0">
      <w:start w:val="0"/>
      <w:numFmt w:val="bullet"/>
      <w:lvlText w:val="•"/>
      <w:lvlJc w:val="left"/>
      <w:pPr>
        <w:tabs>
          <w:tab w:val="left" w:pos="2940"/>
        </w:tabs>
        <w:ind w:left="10254" w:hanging="3437"/>
      </w:pPr>
      <w:rPr>
        <w:rFonts w:hint="default"/>
        <w:lang w:val="zh-CN" w:eastAsia="zh-CN" w:bidi="zh-CN"/>
      </w:rPr>
    </w:lvl>
    <w:lvl w:ilvl="7" w:tentative="0">
      <w:start w:val="0"/>
      <w:numFmt w:val="bullet"/>
      <w:lvlText w:val="•"/>
      <w:lvlJc w:val="left"/>
      <w:pPr>
        <w:tabs>
          <w:tab w:val="left" w:pos="2940"/>
        </w:tabs>
        <w:ind w:left="10883" w:hanging="3437"/>
      </w:pPr>
      <w:rPr>
        <w:rFonts w:hint="default"/>
        <w:lang w:val="zh-CN" w:eastAsia="zh-CN" w:bidi="zh-CN"/>
      </w:rPr>
    </w:lvl>
    <w:lvl w:ilvl="8" w:tentative="0">
      <w:start w:val="0"/>
      <w:numFmt w:val="bullet"/>
      <w:lvlText w:val="•"/>
      <w:lvlJc w:val="left"/>
      <w:pPr>
        <w:tabs>
          <w:tab w:val="left" w:pos="2940"/>
        </w:tabs>
        <w:ind w:left="11512" w:hanging="3437"/>
      </w:pPr>
      <w:rPr>
        <w:rFonts w:hint="default"/>
        <w:lang w:val="zh-CN" w:eastAsia="zh-CN" w:bidi="zh-CN"/>
      </w:rPr>
    </w:lvl>
  </w:abstractNum>
  <w:abstractNum w:abstractNumId="32">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3">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4">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5">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6">
    <w:nsid w:val="3702A3A3"/>
    <w:multiLevelType w:val="singleLevel"/>
    <w:tmpl w:val="3702A3A3"/>
    <w:lvl w:ilvl="0" w:tentative="0">
      <w:start w:val="1"/>
      <w:numFmt w:val="chineseCounting"/>
      <w:suff w:val="nothing"/>
      <w:lvlText w:val="%1、"/>
      <w:lvlJc w:val="left"/>
      <w:rPr>
        <w:rFonts w:hint="eastAsia"/>
      </w:rPr>
    </w:lvl>
  </w:abstractNum>
  <w:abstractNum w:abstractNumId="37">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8">
    <w:nsid w:val="44F362DF"/>
    <w:multiLevelType w:val="multilevel"/>
    <w:tmpl w:val="44F362D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9">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40">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41">
    <w:nsid w:val="58B02883"/>
    <w:multiLevelType w:val="multilevel"/>
    <w:tmpl w:val="58B028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43">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44">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45">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46">
    <w:nsid w:val="63A15A7F"/>
    <w:multiLevelType w:val="singleLevel"/>
    <w:tmpl w:val="63A15A7F"/>
    <w:lvl w:ilvl="0" w:tentative="0">
      <w:start w:val="1"/>
      <w:numFmt w:val="decimal"/>
      <w:lvlText w:val="%1."/>
      <w:lvlJc w:val="left"/>
      <w:pPr>
        <w:ind w:left="425" w:hanging="425"/>
      </w:pPr>
      <w:rPr>
        <w:rFonts w:hint="default"/>
      </w:rPr>
    </w:lvl>
  </w:abstractNum>
  <w:abstractNum w:abstractNumId="47">
    <w:nsid w:val="6F7393ED"/>
    <w:multiLevelType w:val="singleLevel"/>
    <w:tmpl w:val="6F7393ED"/>
    <w:lvl w:ilvl="0" w:tentative="0">
      <w:start w:val="1"/>
      <w:numFmt w:val="decimal"/>
      <w:suff w:val="nothing"/>
      <w:lvlText w:val="%1、"/>
      <w:lvlJc w:val="left"/>
    </w:lvl>
  </w:abstractNum>
  <w:abstractNum w:abstractNumId="48">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49">
    <w:nsid w:val="7B73BFB9"/>
    <w:multiLevelType w:val="singleLevel"/>
    <w:tmpl w:val="7B73BFB9"/>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num w:numId="1">
    <w:abstractNumId w:val="21"/>
  </w:num>
  <w:num w:numId="2">
    <w:abstractNumId w:val="36"/>
  </w:num>
  <w:num w:numId="3">
    <w:abstractNumId w:val="17"/>
  </w:num>
  <w:num w:numId="4">
    <w:abstractNumId w:val="25"/>
  </w:num>
  <w:num w:numId="5">
    <w:abstractNumId w:val="12"/>
  </w:num>
  <w:num w:numId="6">
    <w:abstractNumId w:val="27"/>
  </w:num>
  <w:num w:numId="7">
    <w:abstractNumId w:val="24"/>
  </w:num>
  <w:num w:numId="8">
    <w:abstractNumId w:val="10"/>
  </w:num>
  <w:num w:numId="9">
    <w:abstractNumId w:val="18"/>
  </w:num>
  <w:num w:numId="10">
    <w:abstractNumId w:val="4"/>
  </w:num>
  <w:num w:numId="11">
    <w:abstractNumId w:val="0"/>
  </w:num>
  <w:num w:numId="12">
    <w:abstractNumId w:val="49"/>
  </w:num>
  <w:num w:numId="13">
    <w:abstractNumId w:val="11"/>
  </w:num>
  <w:num w:numId="14">
    <w:abstractNumId w:val="3"/>
  </w:num>
  <w:num w:numId="15">
    <w:abstractNumId w:val="2"/>
  </w:num>
  <w:num w:numId="16">
    <w:abstractNumId w:val="6"/>
  </w:num>
  <w:num w:numId="17">
    <w:abstractNumId w:val="40"/>
  </w:num>
  <w:num w:numId="18">
    <w:abstractNumId w:val="34"/>
  </w:num>
  <w:num w:numId="19">
    <w:abstractNumId w:val="42"/>
  </w:num>
  <w:num w:numId="20">
    <w:abstractNumId w:val="37"/>
  </w:num>
  <w:num w:numId="21">
    <w:abstractNumId w:val="13"/>
  </w:num>
  <w:num w:numId="22">
    <w:abstractNumId w:val="35"/>
  </w:num>
  <w:num w:numId="23">
    <w:abstractNumId w:val="14"/>
  </w:num>
  <w:num w:numId="24">
    <w:abstractNumId w:val="29"/>
  </w:num>
  <w:num w:numId="25">
    <w:abstractNumId w:val="32"/>
  </w:num>
  <w:num w:numId="26">
    <w:abstractNumId w:val="16"/>
  </w:num>
  <w:num w:numId="27">
    <w:abstractNumId w:val="15"/>
  </w:num>
  <w:num w:numId="28">
    <w:abstractNumId w:val="8"/>
  </w:num>
  <w:num w:numId="29">
    <w:abstractNumId w:val="5"/>
  </w:num>
  <w:num w:numId="30">
    <w:abstractNumId w:val="26"/>
  </w:num>
  <w:num w:numId="31">
    <w:abstractNumId w:val="48"/>
  </w:num>
  <w:num w:numId="32">
    <w:abstractNumId w:val="45"/>
  </w:num>
  <w:num w:numId="33">
    <w:abstractNumId w:val="9"/>
  </w:num>
  <w:num w:numId="34">
    <w:abstractNumId w:val="28"/>
  </w:num>
  <w:num w:numId="35">
    <w:abstractNumId w:val="19"/>
  </w:num>
  <w:num w:numId="36">
    <w:abstractNumId w:val="39"/>
  </w:num>
  <w:num w:numId="37">
    <w:abstractNumId w:val="33"/>
  </w:num>
  <w:num w:numId="38">
    <w:abstractNumId w:val="20"/>
  </w:num>
  <w:num w:numId="39">
    <w:abstractNumId w:val="30"/>
  </w:num>
  <w:num w:numId="40">
    <w:abstractNumId w:val="22"/>
  </w:num>
  <w:num w:numId="41">
    <w:abstractNumId w:val="23"/>
  </w:num>
  <w:num w:numId="42">
    <w:abstractNumId w:val="41"/>
  </w:num>
  <w:num w:numId="43">
    <w:abstractNumId w:val="43"/>
  </w:num>
  <w:num w:numId="44">
    <w:abstractNumId w:val="1"/>
  </w:num>
  <w:num w:numId="45">
    <w:abstractNumId w:val="31"/>
  </w:num>
  <w:num w:numId="46">
    <w:abstractNumId w:val="46"/>
  </w:num>
  <w:num w:numId="47">
    <w:abstractNumId w:val="47"/>
  </w:num>
  <w:num w:numId="48">
    <w:abstractNumId w:val="38"/>
  </w:num>
  <w:num w:numId="49">
    <w:abstractNumId w:val="4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zJiYjlkNDUwMzFiNmY1ZGJhOTBkMmE1NjZjNDYifQ=="/>
    <w:docVar w:name="KSO_WPS_MARK_KEY" w:val="ebb5fe7f-071f-4eaa-9cf9-51b4397c0ea0"/>
  </w:docVars>
  <w:rsids>
    <w:rsidRoot w:val="00000000"/>
    <w:rsid w:val="000F176C"/>
    <w:rsid w:val="00CE04AD"/>
    <w:rsid w:val="010371A3"/>
    <w:rsid w:val="01467499"/>
    <w:rsid w:val="015B486D"/>
    <w:rsid w:val="01726A32"/>
    <w:rsid w:val="01A22725"/>
    <w:rsid w:val="01DC2F7B"/>
    <w:rsid w:val="01E75800"/>
    <w:rsid w:val="026B5680"/>
    <w:rsid w:val="02847105"/>
    <w:rsid w:val="02CE3596"/>
    <w:rsid w:val="02EA5CD1"/>
    <w:rsid w:val="03390216"/>
    <w:rsid w:val="03927943"/>
    <w:rsid w:val="03A40EB6"/>
    <w:rsid w:val="03B17CB6"/>
    <w:rsid w:val="040B5B34"/>
    <w:rsid w:val="04404C8C"/>
    <w:rsid w:val="045A2503"/>
    <w:rsid w:val="04795896"/>
    <w:rsid w:val="049C1169"/>
    <w:rsid w:val="04D319DB"/>
    <w:rsid w:val="04D473B5"/>
    <w:rsid w:val="05164A87"/>
    <w:rsid w:val="052E780F"/>
    <w:rsid w:val="052F4768"/>
    <w:rsid w:val="054E1E94"/>
    <w:rsid w:val="057B248E"/>
    <w:rsid w:val="05A226EF"/>
    <w:rsid w:val="05A56756"/>
    <w:rsid w:val="05AC6FA7"/>
    <w:rsid w:val="05DC2498"/>
    <w:rsid w:val="06226143"/>
    <w:rsid w:val="06564549"/>
    <w:rsid w:val="067E540B"/>
    <w:rsid w:val="06844253"/>
    <w:rsid w:val="06BC2E5D"/>
    <w:rsid w:val="071A70E8"/>
    <w:rsid w:val="072B5213"/>
    <w:rsid w:val="07A20A9B"/>
    <w:rsid w:val="07C214D7"/>
    <w:rsid w:val="07D514BA"/>
    <w:rsid w:val="07D6526C"/>
    <w:rsid w:val="07FF586C"/>
    <w:rsid w:val="080F65E1"/>
    <w:rsid w:val="087330F7"/>
    <w:rsid w:val="0882539D"/>
    <w:rsid w:val="08906679"/>
    <w:rsid w:val="08956FBB"/>
    <w:rsid w:val="089801D8"/>
    <w:rsid w:val="08B31F98"/>
    <w:rsid w:val="08C07850"/>
    <w:rsid w:val="08D01082"/>
    <w:rsid w:val="09012917"/>
    <w:rsid w:val="0908184A"/>
    <w:rsid w:val="093046DF"/>
    <w:rsid w:val="099F0B2B"/>
    <w:rsid w:val="09ED184E"/>
    <w:rsid w:val="09F81380"/>
    <w:rsid w:val="0A0E011D"/>
    <w:rsid w:val="0A2D641B"/>
    <w:rsid w:val="0A432718"/>
    <w:rsid w:val="0A541551"/>
    <w:rsid w:val="0A6B449D"/>
    <w:rsid w:val="0AA20225"/>
    <w:rsid w:val="0AA33E79"/>
    <w:rsid w:val="0AAB7DB1"/>
    <w:rsid w:val="0B455E22"/>
    <w:rsid w:val="0B7466D9"/>
    <w:rsid w:val="0B8B7304"/>
    <w:rsid w:val="0BB8294D"/>
    <w:rsid w:val="0BBD4714"/>
    <w:rsid w:val="0BCD051B"/>
    <w:rsid w:val="0BF977F7"/>
    <w:rsid w:val="0C0421A9"/>
    <w:rsid w:val="0C3158EE"/>
    <w:rsid w:val="0C7D365C"/>
    <w:rsid w:val="0D1C45FA"/>
    <w:rsid w:val="0D9B74B7"/>
    <w:rsid w:val="0DB54C6D"/>
    <w:rsid w:val="0DD463C0"/>
    <w:rsid w:val="0E1E0839"/>
    <w:rsid w:val="0E1F0401"/>
    <w:rsid w:val="0E54039D"/>
    <w:rsid w:val="0E9175B2"/>
    <w:rsid w:val="0EB10DEE"/>
    <w:rsid w:val="0F1223F1"/>
    <w:rsid w:val="0F6E2841"/>
    <w:rsid w:val="0FA31BD0"/>
    <w:rsid w:val="10156CA8"/>
    <w:rsid w:val="103D38D1"/>
    <w:rsid w:val="105A31A2"/>
    <w:rsid w:val="108666F5"/>
    <w:rsid w:val="10CE2305"/>
    <w:rsid w:val="10E91988"/>
    <w:rsid w:val="10E94C5F"/>
    <w:rsid w:val="111D4FAF"/>
    <w:rsid w:val="115A2E7B"/>
    <w:rsid w:val="11A17923"/>
    <w:rsid w:val="11A656B7"/>
    <w:rsid w:val="11DA528C"/>
    <w:rsid w:val="11EA319D"/>
    <w:rsid w:val="12167A4D"/>
    <w:rsid w:val="125D719A"/>
    <w:rsid w:val="12817903"/>
    <w:rsid w:val="129A2723"/>
    <w:rsid w:val="12C16C73"/>
    <w:rsid w:val="12DD1436"/>
    <w:rsid w:val="13512764"/>
    <w:rsid w:val="135841C7"/>
    <w:rsid w:val="13C87773"/>
    <w:rsid w:val="14183946"/>
    <w:rsid w:val="144933C4"/>
    <w:rsid w:val="147F2BA1"/>
    <w:rsid w:val="14B9353A"/>
    <w:rsid w:val="156D1D9D"/>
    <w:rsid w:val="15C64A95"/>
    <w:rsid w:val="15C75949"/>
    <w:rsid w:val="15D16880"/>
    <w:rsid w:val="15EC4007"/>
    <w:rsid w:val="15FF0A48"/>
    <w:rsid w:val="16007AB2"/>
    <w:rsid w:val="163E5050"/>
    <w:rsid w:val="166A4586"/>
    <w:rsid w:val="1670261E"/>
    <w:rsid w:val="16746806"/>
    <w:rsid w:val="17271C14"/>
    <w:rsid w:val="172D64A6"/>
    <w:rsid w:val="1774042C"/>
    <w:rsid w:val="17C50C19"/>
    <w:rsid w:val="18347E18"/>
    <w:rsid w:val="18910E95"/>
    <w:rsid w:val="18C86D05"/>
    <w:rsid w:val="18F70D81"/>
    <w:rsid w:val="193B287C"/>
    <w:rsid w:val="19422845"/>
    <w:rsid w:val="19732D86"/>
    <w:rsid w:val="19815ED0"/>
    <w:rsid w:val="198968AC"/>
    <w:rsid w:val="19906060"/>
    <w:rsid w:val="1A1513DC"/>
    <w:rsid w:val="1A394300"/>
    <w:rsid w:val="1A595D79"/>
    <w:rsid w:val="1A5C2C40"/>
    <w:rsid w:val="1A8655A1"/>
    <w:rsid w:val="1A8E7D82"/>
    <w:rsid w:val="1A9409D5"/>
    <w:rsid w:val="1AD6728F"/>
    <w:rsid w:val="1ADC7142"/>
    <w:rsid w:val="1AE37C4E"/>
    <w:rsid w:val="1B137389"/>
    <w:rsid w:val="1B191394"/>
    <w:rsid w:val="1B214D36"/>
    <w:rsid w:val="1B560853"/>
    <w:rsid w:val="1B925650"/>
    <w:rsid w:val="1BE773AC"/>
    <w:rsid w:val="1BEB0559"/>
    <w:rsid w:val="1BF522B5"/>
    <w:rsid w:val="1C123812"/>
    <w:rsid w:val="1C180CDE"/>
    <w:rsid w:val="1C2941AA"/>
    <w:rsid w:val="1C3A1EE3"/>
    <w:rsid w:val="1C536B8E"/>
    <w:rsid w:val="1C603956"/>
    <w:rsid w:val="1CDB049A"/>
    <w:rsid w:val="1D330E31"/>
    <w:rsid w:val="1D38376D"/>
    <w:rsid w:val="1D5A107E"/>
    <w:rsid w:val="1D8A2FB9"/>
    <w:rsid w:val="1D96226D"/>
    <w:rsid w:val="1DBD78E5"/>
    <w:rsid w:val="1DC307F5"/>
    <w:rsid w:val="1E042A40"/>
    <w:rsid w:val="1E0839A8"/>
    <w:rsid w:val="1E412497"/>
    <w:rsid w:val="1E495E4A"/>
    <w:rsid w:val="1E6B467A"/>
    <w:rsid w:val="1EA04FBB"/>
    <w:rsid w:val="1EB0044A"/>
    <w:rsid w:val="1ECB6E9F"/>
    <w:rsid w:val="1EE5003A"/>
    <w:rsid w:val="1EEF1408"/>
    <w:rsid w:val="1F243AC4"/>
    <w:rsid w:val="1F373F52"/>
    <w:rsid w:val="1F5570C1"/>
    <w:rsid w:val="1F5A5118"/>
    <w:rsid w:val="1F6432AB"/>
    <w:rsid w:val="1F6E10D7"/>
    <w:rsid w:val="1FA1336F"/>
    <w:rsid w:val="1FDA7D92"/>
    <w:rsid w:val="1FEE5D41"/>
    <w:rsid w:val="20197ABF"/>
    <w:rsid w:val="20413129"/>
    <w:rsid w:val="204F3B10"/>
    <w:rsid w:val="206474A2"/>
    <w:rsid w:val="206D2096"/>
    <w:rsid w:val="20C30639"/>
    <w:rsid w:val="20D3350F"/>
    <w:rsid w:val="21AF2E52"/>
    <w:rsid w:val="22002AF9"/>
    <w:rsid w:val="220415A1"/>
    <w:rsid w:val="22163011"/>
    <w:rsid w:val="222B4109"/>
    <w:rsid w:val="223E5B7B"/>
    <w:rsid w:val="2255769E"/>
    <w:rsid w:val="22CC6367"/>
    <w:rsid w:val="2323325A"/>
    <w:rsid w:val="23332AFF"/>
    <w:rsid w:val="233E12EA"/>
    <w:rsid w:val="236B6EB3"/>
    <w:rsid w:val="241F4E53"/>
    <w:rsid w:val="245D5C24"/>
    <w:rsid w:val="24741F53"/>
    <w:rsid w:val="24BF62B4"/>
    <w:rsid w:val="24C345B1"/>
    <w:rsid w:val="24CA06C2"/>
    <w:rsid w:val="25285481"/>
    <w:rsid w:val="252A5D24"/>
    <w:rsid w:val="260E0788"/>
    <w:rsid w:val="261C32DC"/>
    <w:rsid w:val="265768C1"/>
    <w:rsid w:val="26587A9A"/>
    <w:rsid w:val="268E50C1"/>
    <w:rsid w:val="26C60546"/>
    <w:rsid w:val="26F216C2"/>
    <w:rsid w:val="270B15D4"/>
    <w:rsid w:val="272702F2"/>
    <w:rsid w:val="2732269C"/>
    <w:rsid w:val="27445CE4"/>
    <w:rsid w:val="274E2D73"/>
    <w:rsid w:val="27577E78"/>
    <w:rsid w:val="279A7D67"/>
    <w:rsid w:val="27B43336"/>
    <w:rsid w:val="27B7014B"/>
    <w:rsid w:val="27EC00CE"/>
    <w:rsid w:val="27F04C64"/>
    <w:rsid w:val="27FB5AD9"/>
    <w:rsid w:val="281F6CA0"/>
    <w:rsid w:val="282840C7"/>
    <w:rsid w:val="283A3566"/>
    <w:rsid w:val="28475E7E"/>
    <w:rsid w:val="284A1FD0"/>
    <w:rsid w:val="28602A63"/>
    <w:rsid w:val="28673667"/>
    <w:rsid w:val="287B527A"/>
    <w:rsid w:val="28EE0144"/>
    <w:rsid w:val="28F82EBC"/>
    <w:rsid w:val="29485450"/>
    <w:rsid w:val="295515A3"/>
    <w:rsid w:val="29584EC8"/>
    <w:rsid w:val="29C50DFA"/>
    <w:rsid w:val="29CA32F7"/>
    <w:rsid w:val="29E108A9"/>
    <w:rsid w:val="2A1023EA"/>
    <w:rsid w:val="2A163D52"/>
    <w:rsid w:val="2A823F64"/>
    <w:rsid w:val="2AA50EFC"/>
    <w:rsid w:val="2AAE59D3"/>
    <w:rsid w:val="2AC808C0"/>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A31217"/>
    <w:rsid w:val="2DE44FB6"/>
    <w:rsid w:val="2DE8295C"/>
    <w:rsid w:val="2DFE3D05"/>
    <w:rsid w:val="2E176C7E"/>
    <w:rsid w:val="2E2959A0"/>
    <w:rsid w:val="2E4D0D88"/>
    <w:rsid w:val="2E6E1562"/>
    <w:rsid w:val="2E784430"/>
    <w:rsid w:val="2E7B2593"/>
    <w:rsid w:val="2E8E489C"/>
    <w:rsid w:val="2EC46369"/>
    <w:rsid w:val="2ED0406E"/>
    <w:rsid w:val="2F057F0D"/>
    <w:rsid w:val="2F9024D5"/>
    <w:rsid w:val="2FAB3EA9"/>
    <w:rsid w:val="302843E8"/>
    <w:rsid w:val="30506792"/>
    <w:rsid w:val="30BF59F1"/>
    <w:rsid w:val="30DC5C3C"/>
    <w:rsid w:val="30E90F55"/>
    <w:rsid w:val="30F229C1"/>
    <w:rsid w:val="31112094"/>
    <w:rsid w:val="31166EA4"/>
    <w:rsid w:val="31282218"/>
    <w:rsid w:val="315D7B06"/>
    <w:rsid w:val="31663CA3"/>
    <w:rsid w:val="31726E79"/>
    <w:rsid w:val="318E62CA"/>
    <w:rsid w:val="319704F8"/>
    <w:rsid w:val="31BB3DF9"/>
    <w:rsid w:val="31C3435E"/>
    <w:rsid w:val="31DA3524"/>
    <w:rsid w:val="31E83B58"/>
    <w:rsid w:val="31FC6649"/>
    <w:rsid w:val="32183E25"/>
    <w:rsid w:val="32196C68"/>
    <w:rsid w:val="325705B0"/>
    <w:rsid w:val="325D64AF"/>
    <w:rsid w:val="32885287"/>
    <w:rsid w:val="32A748BE"/>
    <w:rsid w:val="32BC718E"/>
    <w:rsid w:val="32D540D6"/>
    <w:rsid w:val="32ED5589"/>
    <w:rsid w:val="32F0373B"/>
    <w:rsid w:val="32FD6CA5"/>
    <w:rsid w:val="33227DAA"/>
    <w:rsid w:val="333746BC"/>
    <w:rsid w:val="33443BCA"/>
    <w:rsid w:val="338E24CA"/>
    <w:rsid w:val="339F475C"/>
    <w:rsid w:val="34002045"/>
    <w:rsid w:val="341D1F3B"/>
    <w:rsid w:val="346A4846"/>
    <w:rsid w:val="347E1245"/>
    <w:rsid w:val="34A74955"/>
    <w:rsid w:val="3509652C"/>
    <w:rsid w:val="353B029A"/>
    <w:rsid w:val="354B2FDB"/>
    <w:rsid w:val="354E52E6"/>
    <w:rsid w:val="356751D9"/>
    <w:rsid w:val="357B7045"/>
    <w:rsid w:val="358A766C"/>
    <w:rsid w:val="35A344BE"/>
    <w:rsid w:val="35AB0B75"/>
    <w:rsid w:val="35B60D62"/>
    <w:rsid w:val="35DA7FF9"/>
    <w:rsid w:val="35DD7F80"/>
    <w:rsid w:val="35E07D4F"/>
    <w:rsid w:val="35F27884"/>
    <w:rsid w:val="361B28D6"/>
    <w:rsid w:val="363A3BA0"/>
    <w:rsid w:val="368A5D9F"/>
    <w:rsid w:val="36971EB9"/>
    <w:rsid w:val="36E0506A"/>
    <w:rsid w:val="36E702E1"/>
    <w:rsid w:val="37113A08"/>
    <w:rsid w:val="377F1060"/>
    <w:rsid w:val="379A3573"/>
    <w:rsid w:val="37B0704E"/>
    <w:rsid w:val="37F22E40"/>
    <w:rsid w:val="380813C3"/>
    <w:rsid w:val="38234509"/>
    <w:rsid w:val="3836588A"/>
    <w:rsid w:val="38505A86"/>
    <w:rsid w:val="38616237"/>
    <w:rsid w:val="386C32F2"/>
    <w:rsid w:val="386D4BD8"/>
    <w:rsid w:val="388B2624"/>
    <w:rsid w:val="390D387E"/>
    <w:rsid w:val="39F925AD"/>
    <w:rsid w:val="3A0E02F3"/>
    <w:rsid w:val="3A1F7591"/>
    <w:rsid w:val="3A3F6103"/>
    <w:rsid w:val="3A426DAB"/>
    <w:rsid w:val="3A53344D"/>
    <w:rsid w:val="3A611BA9"/>
    <w:rsid w:val="3A6977A4"/>
    <w:rsid w:val="3A6D363A"/>
    <w:rsid w:val="3A860F66"/>
    <w:rsid w:val="3A8B1791"/>
    <w:rsid w:val="3AF14418"/>
    <w:rsid w:val="3B492C24"/>
    <w:rsid w:val="3B517F66"/>
    <w:rsid w:val="3BC93ABF"/>
    <w:rsid w:val="3BCF6A9E"/>
    <w:rsid w:val="3BD0640F"/>
    <w:rsid w:val="3BED2267"/>
    <w:rsid w:val="3C0E4C66"/>
    <w:rsid w:val="3C3502BB"/>
    <w:rsid w:val="3C680890"/>
    <w:rsid w:val="3C7D5E85"/>
    <w:rsid w:val="3C8A5280"/>
    <w:rsid w:val="3C9A6A0D"/>
    <w:rsid w:val="3CCE3EF4"/>
    <w:rsid w:val="3CCF1E09"/>
    <w:rsid w:val="3CE76ACB"/>
    <w:rsid w:val="3CF16ABC"/>
    <w:rsid w:val="3D0E58FB"/>
    <w:rsid w:val="3D111AEB"/>
    <w:rsid w:val="3D2C725B"/>
    <w:rsid w:val="3D687B67"/>
    <w:rsid w:val="3D9902B0"/>
    <w:rsid w:val="3DEE2762"/>
    <w:rsid w:val="3DF85DAB"/>
    <w:rsid w:val="3DFA56F0"/>
    <w:rsid w:val="3E033D8D"/>
    <w:rsid w:val="3E377C66"/>
    <w:rsid w:val="3E3B0641"/>
    <w:rsid w:val="3E3F17BF"/>
    <w:rsid w:val="3EA779CF"/>
    <w:rsid w:val="3EBF6158"/>
    <w:rsid w:val="3EC73D73"/>
    <w:rsid w:val="3ED1136C"/>
    <w:rsid w:val="3ED62C2D"/>
    <w:rsid w:val="3FCC7919"/>
    <w:rsid w:val="400E6807"/>
    <w:rsid w:val="40267F92"/>
    <w:rsid w:val="402E08AC"/>
    <w:rsid w:val="403C0681"/>
    <w:rsid w:val="406C1954"/>
    <w:rsid w:val="407B3B9C"/>
    <w:rsid w:val="40CA7CCF"/>
    <w:rsid w:val="40FA1E7D"/>
    <w:rsid w:val="410051BD"/>
    <w:rsid w:val="413333BF"/>
    <w:rsid w:val="416359DF"/>
    <w:rsid w:val="416C1C89"/>
    <w:rsid w:val="41C66851"/>
    <w:rsid w:val="41D81760"/>
    <w:rsid w:val="41EA0EBD"/>
    <w:rsid w:val="41EC2ADA"/>
    <w:rsid w:val="420D1363"/>
    <w:rsid w:val="4376603F"/>
    <w:rsid w:val="43795F94"/>
    <w:rsid w:val="4392793A"/>
    <w:rsid w:val="43A61EBD"/>
    <w:rsid w:val="43CE6C96"/>
    <w:rsid w:val="44066D34"/>
    <w:rsid w:val="444C5ED9"/>
    <w:rsid w:val="44607D45"/>
    <w:rsid w:val="448D2A45"/>
    <w:rsid w:val="449C07D6"/>
    <w:rsid w:val="44E636FF"/>
    <w:rsid w:val="44F512D3"/>
    <w:rsid w:val="450F58B5"/>
    <w:rsid w:val="4535723A"/>
    <w:rsid w:val="45510941"/>
    <w:rsid w:val="45915315"/>
    <w:rsid w:val="45A33706"/>
    <w:rsid w:val="45AA4DF1"/>
    <w:rsid w:val="45AB6DA2"/>
    <w:rsid w:val="45AD28FA"/>
    <w:rsid w:val="45D3368A"/>
    <w:rsid w:val="46153863"/>
    <w:rsid w:val="462B263C"/>
    <w:rsid w:val="46443477"/>
    <w:rsid w:val="46A64DB2"/>
    <w:rsid w:val="46F4219F"/>
    <w:rsid w:val="471961DD"/>
    <w:rsid w:val="47764DFC"/>
    <w:rsid w:val="48486B1C"/>
    <w:rsid w:val="48756F94"/>
    <w:rsid w:val="48874770"/>
    <w:rsid w:val="491173EB"/>
    <w:rsid w:val="49430C53"/>
    <w:rsid w:val="49903608"/>
    <w:rsid w:val="49E11574"/>
    <w:rsid w:val="4A220275"/>
    <w:rsid w:val="4AA66BEC"/>
    <w:rsid w:val="4AAA25C8"/>
    <w:rsid w:val="4AFE519B"/>
    <w:rsid w:val="4B037C74"/>
    <w:rsid w:val="4B0D7E5B"/>
    <w:rsid w:val="4B3D7E85"/>
    <w:rsid w:val="4B496DCF"/>
    <w:rsid w:val="4BFD209A"/>
    <w:rsid w:val="4BFE7913"/>
    <w:rsid w:val="4C155EE8"/>
    <w:rsid w:val="4C2D08FA"/>
    <w:rsid w:val="4C4179C2"/>
    <w:rsid w:val="4C583C10"/>
    <w:rsid w:val="4C8D3219"/>
    <w:rsid w:val="4CB05E57"/>
    <w:rsid w:val="4CDC42E8"/>
    <w:rsid w:val="4D171751"/>
    <w:rsid w:val="4D3A7B19"/>
    <w:rsid w:val="4D481C35"/>
    <w:rsid w:val="4D884EB7"/>
    <w:rsid w:val="4D9F3BD6"/>
    <w:rsid w:val="4DB9307D"/>
    <w:rsid w:val="4E084FAF"/>
    <w:rsid w:val="4E120D67"/>
    <w:rsid w:val="4E467A51"/>
    <w:rsid w:val="4E481A1B"/>
    <w:rsid w:val="4E67288E"/>
    <w:rsid w:val="4E9714AD"/>
    <w:rsid w:val="4EA830F0"/>
    <w:rsid w:val="4EE22289"/>
    <w:rsid w:val="4EE9411A"/>
    <w:rsid w:val="4F141089"/>
    <w:rsid w:val="4F1A376E"/>
    <w:rsid w:val="4F9E38E5"/>
    <w:rsid w:val="4FB35108"/>
    <w:rsid w:val="50602374"/>
    <w:rsid w:val="507C08EE"/>
    <w:rsid w:val="508048A2"/>
    <w:rsid w:val="5083021E"/>
    <w:rsid w:val="50A1505B"/>
    <w:rsid w:val="50CE2C74"/>
    <w:rsid w:val="512522D1"/>
    <w:rsid w:val="51C07C78"/>
    <w:rsid w:val="524135FD"/>
    <w:rsid w:val="52556011"/>
    <w:rsid w:val="52B7707E"/>
    <w:rsid w:val="532836E9"/>
    <w:rsid w:val="53716762"/>
    <w:rsid w:val="537C55C4"/>
    <w:rsid w:val="53AF0612"/>
    <w:rsid w:val="53B50EDC"/>
    <w:rsid w:val="53D2557A"/>
    <w:rsid w:val="53D55CBA"/>
    <w:rsid w:val="53DE7460"/>
    <w:rsid w:val="53EE1FCD"/>
    <w:rsid w:val="5401180F"/>
    <w:rsid w:val="54017020"/>
    <w:rsid w:val="547916E6"/>
    <w:rsid w:val="54C80264"/>
    <w:rsid w:val="55375A1D"/>
    <w:rsid w:val="555801FF"/>
    <w:rsid w:val="55B42BBE"/>
    <w:rsid w:val="55B94EA8"/>
    <w:rsid w:val="55BC726F"/>
    <w:rsid w:val="55F01B2B"/>
    <w:rsid w:val="55F945A7"/>
    <w:rsid w:val="56161ACB"/>
    <w:rsid w:val="56771861"/>
    <w:rsid w:val="56D0050E"/>
    <w:rsid w:val="56F47CFD"/>
    <w:rsid w:val="576405CC"/>
    <w:rsid w:val="57975CAB"/>
    <w:rsid w:val="57BC68FB"/>
    <w:rsid w:val="580D673C"/>
    <w:rsid w:val="583077A8"/>
    <w:rsid w:val="586930C8"/>
    <w:rsid w:val="58753738"/>
    <w:rsid w:val="58965AE0"/>
    <w:rsid w:val="589A36DD"/>
    <w:rsid w:val="58AE7FAA"/>
    <w:rsid w:val="58D04DB5"/>
    <w:rsid w:val="58E778C2"/>
    <w:rsid w:val="590C3AC7"/>
    <w:rsid w:val="59133854"/>
    <w:rsid w:val="59235151"/>
    <w:rsid w:val="594828CF"/>
    <w:rsid w:val="594A43F9"/>
    <w:rsid w:val="59585C67"/>
    <w:rsid w:val="59A86A3C"/>
    <w:rsid w:val="59E51D75"/>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C6A0DAE"/>
    <w:rsid w:val="5C844566"/>
    <w:rsid w:val="5D2378DB"/>
    <w:rsid w:val="5D31022F"/>
    <w:rsid w:val="5D476FFB"/>
    <w:rsid w:val="5D5053C5"/>
    <w:rsid w:val="5D6A0727"/>
    <w:rsid w:val="5DC70367"/>
    <w:rsid w:val="5DD01996"/>
    <w:rsid w:val="5DF64FF0"/>
    <w:rsid w:val="5E2C6811"/>
    <w:rsid w:val="5E993BCD"/>
    <w:rsid w:val="5F19062F"/>
    <w:rsid w:val="5F241C7D"/>
    <w:rsid w:val="5F3A53B0"/>
    <w:rsid w:val="5F5951E4"/>
    <w:rsid w:val="5F7B11B8"/>
    <w:rsid w:val="5FA4748C"/>
    <w:rsid w:val="5FDC61CF"/>
    <w:rsid w:val="5FFA73C0"/>
    <w:rsid w:val="60163260"/>
    <w:rsid w:val="60517F91"/>
    <w:rsid w:val="606D1328"/>
    <w:rsid w:val="60A35A29"/>
    <w:rsid w:val="6103324D"/>
    <w:rsid w:val="61175156"/>
    <w:rsid w:val="6129176B"/>
    <w:rsid w:val="612E7085"/>
    <w:rsid w:val="61521DCC"/>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BF2070"/>
    <w:rsid w:val="63EC5F3B"/>
    <w:rsid w:val="6477074E"/>
    <w:rsid w:val="64A53594"/>
    <w:rsid w:val="64CF4865"/>
    <w:rsid w:val="64E41722"/>
    <w:rsid w:val="65025771"/>
    <w:rsid w:val="650600CC"/>
    <w:rsid w:val="6533605F"/>
    <w:rsid w:val="655B398A"/>
    <w:rsid w:val="658214C6"/>
    <w:rsid w:val="65FF4C5D"/>
    <w:rsid w:val="660C430D"/>
    <w:rsid w:val="660E094E"/>
    <w:rsid w:val="664868A8"/>
    <w:rsid w:val="669607BC"/>
    <w:rsid w:val="66A27497"/>
    <w:rsid w:val="66C024D5"/>
    <w:rsid w:val="66D441BA"/>
    <w:rsid w:val="67672D81"/>
    <w:rsid w:val="676958C7"/>
    <w:rsid w:val="677A00EC"/>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A1C3020"/>
    <w:rsid w:val="6A204355"/>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543ABA"/>
    <w:rsid w:val="6C6121CE"/>
    <w:rsid w:val="6C6612A4"/>
    <w:rsid w:val="6CD13C8D"/>
    <w:rsid w:val="6CEF0C6B"/>
    <w:rsid w:val="6D4A104D"/>
    <w:rsid w:val="6D572ED4"/>
    <w:rsid w:val="6DBE4FD8"/>
    <w:rsid w:val="6DD4799A"/>
    <w:rsid w:val="6E031605"/>
    <w:rsid w:val="6E3B5181"/>
    <w:rsid w:val="6E6B0D3B"/>
    <w:rsid w:val="6E713CDA"/>
    <w:rsid w:val="6E985C4F"/>
    <w:rsid w:val="6EBC41D1"/>
    <w:rsid w:val="6EDB1A70"/>
    <w:rsid w:val="6F006EC6"/>
    <w:rsid w:val="6F1313D8"/>
    <w:rsid w:val="6F347699"/>
    <w:rsid w:val="6F584989"/>
    <w:rsid w:val="6FF6618E"/>
    <w:rsid w:val="701632CF"/>
    <w:rsid w:val="7056191E"/>
    <w:rsid w:val="70684A8A"/>
    <w:rsid w:val="70B74FE5"/>
    <w:rsid w:val="70F54D20"/>
    <w:rsid w:val="712060B5"/>
    <w:rsid w:val="71236EDA"/>
    <w:rsid w:val="71374E78"/>
    <w:rsid w:val="719B34C9"/>
    <w:rsid w:val="71AB116B"/>
    <w:rsid w:val="71F17B50"/>
    <w:rsid w:val="721B57C9"/>
    <w:rsid w:val="724C4755"/>
    <w:rsid w:val="72657AB1"/>
    <w:rsid w:val="726B0227"/>
    <w:rsid w:val="7271351A"/>
    <w:rsid w:val="7280756D"/>
    <w:rsid w:val="729977C0"/>
    <w:rsid w:val="72A526E9"/>
    <w:rsid w:val="72B63FEB"/>
    <w:rsid w:val="72FA6ED8"/>
    <w:rsid w:val="732B04BE"/>
    <w:rsid w:val="73426A6E"/>
    <w:rsid w:val="7387572A"/>
    <w:rsid w:val="73895BF4"/>
    <w:rsid w:val="739E5AB6"/>
    <w:rsid w:val="7415542F"/>
    <w:rsid w:val="74214277"/>
    <w:rsid w:val="74B61471"/>
    <w:rsid w:val="74D9696F"/>
    <w:rsid w:val="751208DE"/>
    <w:rsid w:val="75431E21"/>
    <w:rsid w:val="755C1037"/>
    <w:rsid w:val="75937941"/>
    <w:rsid w:val="766B153E"/>
    <w:rsid w:val="766D79E9"/>
    <w:rsid w:val="768A231C"/>
    <w:rsid w:val="769A2CFE"/>
    <w:rsid w:val="76B53FEF"/>
    <w:rsid w:val="76F86A43"/>
    <w:rsid w:val="77003391"/>
    <w:rsid w:val="770E4D00"/>
    <w:rsid w:val="772B32FB"/>
    <w:rsid w:val="773542CF"/>
    <w:rsid w:val="77830D3B"/>
    <w:rsid w:val="77867617"/>
    <w:rsid w:val="77AE1EF8"/>
    <w:rsid w:val="77CC7757"/>
    <w:rsid w:val="77DD4B45"/>
    <w:rsid w:val="782F3180"/>
    <w:rsid w:val="78370AF4"/>
    <w:rsid w:val="7837358B"/>
    <w:rsid w:val="7843100E"/>
    <w:rsid w:val="7844005A"/>
    <w:rsid w:val="78BE4504"/>
    <w:rsid w:val="78C70FDB"/>
    <w:rsid w:val="79540723"/>
    <w:rsid w:val="7A496864"/>
    <w:rsid w:val="7A7F33BC"/>
    <w:rsid w:val="7A813805"/>
    <w:rsid w:val="7AE82EBD"/>
    <w:rsid w:val="7AE82F47"/>
    <w:rsid w:val="7AEC5112"/>
    <w:rsid w:val="7B0424FE"/>
    <w:rsid w:val="7B2B44C1"/>
    <w:rsid w:val="7B8C37C1"/>
    <w:rsid w:val="7B8F0316"/>
    <w:rsid w:val="7BE718B8"/>
    <w:rsid w:val="7BFD3595"/>
    <w:rsid w:val="7C07129B"/>
    <w:rsid w:val="7C3D517A"/>
    <w:rsid w:val="7C7A4BE6"/>
    <w:rsid w:val="7C9A49D8"/>
    <w:rsid w:val="7CAC02D7"/>
    <w:rsid w:val="7D821433"/>
    <w:rsid w:val="7D865A13"/>
    <w:rsid w:val="7D9D2234"/>
    <w:rsid w:val="7DBE51A3"/>
    <w:rsid w:val="7DC51651"/>
    <w:rsid w:val="7DC834FE"/>
    <w:rsid w:val="7DF97A0C"/>
    <w:rsid w:val="7E005BE7"/>
    <w:rsid w:val="7E5C50DB"/>
    <w:rsid w:val="7E6327EF"/>
    <w:rsid w:val="7E9C297F"/>
    <w:rsid w:val="7EBE3F1A"/>
    <w:rsid w:val="7ECA636E"/>
    <w:rsid w:val="7ECC2ECE"/>
    <w:rsid w:val="7EDE4B0A"/>
    <w:rsid w:val="7F207B84"/>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9"/>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4">
    <w:name w:val="Default Paragraph Font"/>
    <w:semiHidden/>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pPr>
      <w:tabs>
        <w:tab w:val="left" w:pos="5890"/>
        <w:tab w:val="left" w:leader="dot" w:pos="8108"/>
      </w:tabs>
      <w:spacing w:line="223" w:lineRule="auto"/>
      <w:ind w:firstLine="380"/>
    </w:pPr>
    <w:rPr>
      <w:rFonts w:ascii="宋体" w:hAnsi="Courier New"/>
      <w:color w:val="000000"/>
      <w:kern w:val="0"/>
      <w:sz w:val="21"/>
      <w:szCs w:val="20"/>
    </w:rPr>
  </w:style>
  <w:style w:type="paragraph" w:styleId="10">
    <w:name w:val="Body Text"/>
    <w:basedOn w:val="1"/>
    <w:next w:val="1"/>
    <w:link w:val="29"/>
    <w:qFormat/>
    <w:uiPriority w:val="1"/>
    <w:rPr>
      <w:rFonts w:ascii="宋体" w:hAnsi="宋体" w:eastAsia="宋体" w:cs="宋体"/>
      <w:sz w:val="21"/>
      <w:szCs w:val="21"/>
      <w:lang w:val="zh-CN" w:eastAsia="zh-CN" w:bidi="zh-CN"/>
    </w:rPr>
  </w:style>
  <w:style w:type="paragraph" w:styleId="11">
    <w:name w:val="Body Text Indent"/>
    <w:basedOn w:val="1"/>
    <w:next w:val="12"/>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qFormat/>
    <w:uiPriority w:val="0"/>
    <w:pPr>
      <w:adjustRightInd w:val="0"/>
      <w:snapToGrid w:val="0"/>
      <w:spacing w:line="360" w:lineRule="atLeast"/>
      <w:ind w:firstLine="640" w:firstLineChars="200"/>
    </w:pPr>
    <w:rPr>
      <w:rFonts w:ascii="Arial" w:hAnsi="Arial"/>
    </w:rPr>
  </w:style>
  <w:style w:type="paragraph" w:styleId="13">
    <w:name w:val="Plain Text"/>
    <w:basedOn w:val="1"/>
    <w:next w:val="1"/>
    <w:qFormat/>
    <w:uiPriority w:val="99"/>
    <w:pPr>
      <w:widowControl w:val="0"/>
      <w:jc w:val="both"/>
    </w:pPr>
    <w:rPr>
      <w:rFonts w:ascii="宋体" w:hAnsi="Courier New"/>
      <w:kern w:val="2"/>
    </w:rPr>
  </w:style>
  <w:style w:type="paragraph" w:styleId="14">
    <w:name w:val="Body Text Indent 2"/>
    <w:basedOn w:val="1"/>
    <w:next w:val="1"/>
    <w:link w:val="30"/>
    <w:qFormat/>
    <w:uiPriority w:val="99"/>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qFormat/>
    <w:uiPriority w:val="0"/>
    <w:pPr>
      <w:ind w:leftChars="0" w:firstLine="420"/>
    </w:pPr>
    <w:rPr>
      <w:rFonts w:ascii="Times New Roman" w:hAnsi="Times New Roman"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100" w:hanging="480"/>
    </w:pPr>
    <w:rPr>
      <w:rFonts w:ascii="宋体" w:hAnsi="宋体" w:eastAsia="宋体" w:cs="宋体"/>
      <w:lang w:val="zh-CN" w:eastAsia="zh-CN" w:bidi="zh-CN"/>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正文文本 Char"/>
    <w:link w:val="10"/>
    <w:qFormat/>
    <w:uiPriority w:val="1"/>
    <w:rPr>
      <w:rFonts w:ascii="宋体" w:hAnsi="宋体" w:eastAsia="宋体" w:cs="宋体"/>
      <w:sz w:val="21"/>
      <w:szCs w:val="21"/>
      <w:lang w:val="zh-CN" w:eastAsia="zh-CN" w:bidi="zh-CN"/>
    </w:rPr>
  </w:style>
  <w:style w:type="character" w:customStyle="1" w:styleId="30">
    <w:name w:val="正文文本缩进 2 Char"/>
    <w:link w:val="14"/>
    <w:qFormat/>
    <w:uiPriority w:val="0"/>
  </w:style>
  <w:style w:type="paragraph" w:customStyle="1" w:styleId="31">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标题 2 New"/>
    <w:basedOn w:val="34"/>
    <w:next w:val="34"/>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style21"/>
    <w:basedOn w:val="24"/>
    <w:qFormat/>
    <w:uiPriority w:val="0"/>
    <w:rPr>
      <w:rFonts w:cs="Times New Roman"/>
      <w:sz w:val="24"/>
      <w:szCs w:val="24"/>
    </w:rPr>
  </w:style>
  <w:style w:type="paragraph" w:customStyle="1" w:styleId="37">
    <w:name w:val="样式 标题 3 + (中文) 黑体 小四 非加粗 段前: 7.8 磅 段后: 0 磅 行距: 固定值 20 磅"/>
    <w:basedOn w:val="5"/>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8">
    <w:name w:val="列出段落1"/>
    <w:basedOn w:val="1"/>
    <w:qFormat/>
    <w:uiPriority w:val="34"/>
    <w:pPr>
      <w:ind w:firstLine="420" w:firstLineChars="200"/>
    </w:pPr>
    <w:rPr>
      <w:rFonts w:ascii="Calibri" w:hAnsi="Calibri" w:eastAsia="宋体" w:cs="黑体"/>
    </w:rPr>
  </w:style>
  <w:style w:type="character" w:customStyle="1" w:styleId="39">
    <w:name w:val="Heading 2 Char"/>
    <w:basedOn w:val="24"/>
    <w:link w:val="4"/>
    <w:qFormat/>
    <w:locked/>
    <w:uiPriority w:val="99"/>
    <w:rPr>
      <w:rFonts w:ascii="宋体" w:hAnsi="宋体" w:eastAsia="宋体" w:cs="宋体"/>
      <w:b/>
      <w:bCs/>
      <w:sz w:val="48"/>
      <w:szCs w:val="48"/>
      <w:lang w:val="zh-CN" w:eastAsia="zh-CN" w:bidi="zh-CN"/>
    </w:rPr>
  </w:style>
  <w:style w:type="paragraph" w:customStyle="1" w:styleId="40">
    <w:name w:val="Plain Text"/>
    <w:basedOn w:val="1"/>
    <w:qFormat/>
    <w:uiPriority w:val="0"/>
    <w:pPr>
      <w:tabs>
        <w:tab w:val="left" w:pos="5890"/>
        <w:tab w:val="left" w:leader="dot" w:pos="8108"/>
      </w:tabs>
      <w:spacing w:line="223" w:lineRule="auto"/>
      <w:ind w:firstLine="380"/>
    </w:pPr>
    <w:rPr>
      <w:rFonts w:ascii="宋体" w:hAnsi="Courier New"/>
      <w:color w:val="000000"/>
      <w:kern w:val="0"/>
      <w:sz w:val="21"/>
      <w:szCs w:val="20"/>
    </w:rPr>
  </w:style>
  <w:style w:type="paragraph" w:customStyle="1" w:styleId="41">
    <w:name w:val="普通(网站) New"/>
    <w:basedOn w:val="34"/>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42">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35320</Words>
  <Characters>36246</Characters>
  <TotalTime>13</TotalTime>
  <ScaleCrop>false</ScaleCrop>
  <LinksUpToDate>false</LinksUpToDate>
  <CharactersWithSpaces>39049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狂奔的蚂蚁</cp:lastModifiedBy>
  <cp:lastPrinted>2021-12-15T09:07:00Z</cp:lastPrinted>
  <dcterms:modified xsi:type="dcterms:W3CDTF">2024-04-16T07:29:56Z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2052-11.1.0.12763</vt:lpwstr>
  </property>
  <property fmtid="{D5CDD505-2E9C-101B-9397-08002B2CF9AE}" pid="6" name="ICV">
    <vt:lpwstr>3F566A1E531544ADA54E164B540CDA95_13</vt:lpwstr>
  </property>
</Properties>
</file>